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40"/>
        <w:rPr>
          <w:color w:val="auto"/>
          <w:highlight w:val="none"/>
        </w:rPr>
      </w:pPr>
    </w:p>
    <w:p>
      <w:pPr>
        <w:ind w:firstLine="640"/>
        <w:rPr>
          <w:color w:val="auto"/>
          <w:highlight w:val="none"/>
        </w:rPr>
      </w:pPr>
    </w:p>
    <w:p>
      <w:pPr>
        <w:ind w:firstLine="640"/>
        <w:rPr>
          <w:color w:val="auto"/>
          <w:highlight w:val="none"/>
        </w:rPr>
      </w:pPr>
    </w:p>
    <w:p>
      <w:pPr>
        <w:ind w:firstLine="0" w:firstLineChars="0"/>
        <w:jc w:val="center"/>
        <w:outlineLvl w:val="0"/>
        <w:rPr>
          <w:rFonts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lang w:eastAsia="zh-CN"/>
        </w:rPr>
        <w:t>长沙市产业投资集团有限公司下属长沙市土地开发建设有限责任公司公开招募长投新成公寓运营合作单位</w:t>
      </w:r>
      <w:r>
        <w:rPr>
          <w:rFonts w:hint="eastAsia" w:ascii="方正小标宋简体" w:hAnsi="方正小标宋简体" w:eastAsia="方正小标宋简体" w:cs="方正小标宋简体"/>
          <w:color w:val="auto"/>
          <w:sz w:val="44"/>
          <w:szCs w:val="44"/>
          <w:highlight w:val="none"/>
        </w:rPr>
        <w:t>遴选文件</w:t>
      </w:r>
    </w:p>
    <w:p>
      <w:pPr>
        <w:ind w:firstLine="0" w:firstLineChars="0"/>
        <w:jc w:val="center"/>
        <w:outlineLvl w:val="0"/>
        <w:rPr>
          <w:rFonts w:ascii="方正小标宋简体" w:hAnsi="方正小标宋简体" w:eastAsia="方正小标宋简体" w:cs="方正小标宋简体"/>
          <w:color w:val="auto"/>
          <w:sz w:val="44"/>
          <w:szCs w:val="44"/>
          <w:highlight w:val="none"/>
        </w:rPr>
      </w:pPr>
    </w:p>
    <w:p>
      <w:pPr>
        <w:ind w:firstLine="640"/>
        <w:rPr>
          <w:color w:val="auto"/>
          <w:highlight w:val="none"/>
        </w:rPr>
      </w:pPr>
    </w:p>
    <w:p>
      <w:pPr>
        <w:ind w:firstLine="640"/>
        <w:rPr>
          <w:color w:val="auto"/>
          <w:highlight w:val="none"/>
        </w:rPr>
      </w:pPr>
    </w:p>
    <w:p>
      <w:pPr>
        <w:ind w:firstLine="640"/>
        <w:rPr>
          <w:color w:val="auto"/>
          <w:highlight w:val="none"/>
        </w:rPr>
      </w:pPr>
    </w:p>
    <w:p>
      <w:pPr>
        <w:ind w:firstLine="640"/>
        <w:rPr>
          <w:color w:val="auto"/>
          <w:highlight w:val="none"/>
        </w:rPr>
      </w:pPr>
    </w:p>
    <w:p>
      <w:pPr>
        <w:ind w:firstLine="640"/>
        <w:rPr>
          <w:color w:val="auto"/>
          <w:highlight w:val="none"/>
        </w:rPr>
      </w:pPr>
    </w:p>
    <w:p>
      <w:pPr>
        <w:ind w:firstLine="640"/>
        <w:rPr>
          <w:color w:val="auto"/>
          <w:highlight w:val="none"/>
        </w:rPr>
      </w:pPr>
    </w:p>
    <w:p>
      <w:pPr>
        <w:ind w:firstLine="640"/>
        <w:rPr>
          <w:color w:val="auto"/>
          <w:highlight w:val="none"/>
        </w:rPr>
      </w:pPr>
    </w:p>
    <w:p>
      <w:pPr>
        <w:ind w:firstLine="640"/>
        <w:rPr>
          <w:color w:val="auto"/>
          <w:highlight w:val="none"/>
        </w:rPr>
      </w:pPr>
    </w:p>
    <w:p>
      <w:pPr>
        <w:ind w:firstLine="640"/>
        <w:rPr>
          <w:color w:val="auto"/>
          <w:highlight w:val="none"/>
        </w:rPr>
      </w:pPr>
    </w:p>
    <w:p>
      <w:pPr>
        <w:ind w:firstLine="640"/>
        <w:rPr>
          <w:color w:val="auto"/>
          <w:highlight w:val="none"/>
        </w:rPr>
      </w:pPr>
    </w:p>
    <w:p>
      <w:pPr>
        <w:ind w:firstLine="640"/>
        <w:rPr>
          <w:color w:val="auto"/>
          <w:highlight w:val="none"/>
        </w:rPr>
      </w:pPr>
    </w:p>
    <w:p>
      <w:pPr>
        <w:ind w:firstLine="640"/>
        <w:rPr>
          <w:color w:val="auto"/>
          <w:highlight w:val="none"/>
        </w:rPr>
      </w:pPr>
    </w:p>
    <w:p>
      <w:pPr>
        <w:ind w:firstLine="640"/>
        <w:rPr>
          <w:color w:val="auto"/>
          <w:highlight w:val="none"/>
        </w:rPr>
      </w:pPr>
    </w:p>
    <w:p>
      <w:pPr>
        <w:ind w:firstLine="640"/>
        <w:rPr>
          <w:color w:val="auto"/>
          <w:highlight w:val="none"/>
        </w:rPr>
      </w:pPr>
    </w:p>
    <w:p>
      <w:pPr>
        <w:ind w:firstLine="0" w:firstLineChars="0"/>
        <w:jc w:val="center"/>
        <w:outlineLvl w:val="0"/>
        <w:rPr>
          <w:rFonts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t>长沙市土地开发建设有限责任公司</w:t>
      </w:r>
    </w:p>
    <w:p>
      <w:pPr>
        <w:ind w:firstLine="0" w:firstLineChars="0"/>
        <w:jc w:val="center"/>
        <w:outlineLvl w:val="0"/>
        <w:rPr>
          <w:rFonts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t>2023年3月</w:t>
      </w:r>
    </w:p>
    <w:p>
      <w:pPr>
        <w:rPr>
          <w:rFonts w:ascii="方正小标宋简体" w:hAnsi="方正小标宋简体" w:eastAsia="方正小标宋简体" w:cs="方正小标宋简体"/>
          <w:color w:val="auto"/>
          <w:sz w:val="44"/>
          <w:szCs w:val="44"/>
          <w:highlight w:val="none"/>
        </w:rPr>
      </w:pPr>
      <w:r>
        <w:rPr>
          <w:rFonts w:ascii="方正小标宋简体" w:hAnsi="方正小标宋简体" w:eastAsia="方正小标宋简体" w:cs="方正小标宋简体"/>
          <w:color w:val="auto"/>
          <w:sz w:val="44"/>
          <w:szCs w:val="44"/>
          <w:highlight w:val="none"/>
        </w:rPr>
        <w:br w:type="page"/>
      </w:r>
    </w:p>
    <w:p>
      <w:pPr>
        <w:ind w:firstLine="0" w:firstLineChars="0"/>
        <w:jc w:val="center"/>
        <w:outlineLvl w:val="0"/>
        <w:rPr>
          <w:rFonts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t>第一章、招募公告</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color w:val="auto"/>
          <w:highlight w:val="none"/>
        </w:rPr>
      </w:pPr>
      <w:r>
        <w:rPr>
          <w:rFonts w:hint="eastAsia"/>
          <w:color w:val="auto"/>
          <w:highlight w:val="none"/>
        </w:rPr>
        <w:t>长沙市招投标有限公司受长沙市土地开发建设有限责任公司的委托，现</w:t>
      </w:r>
      <w:r>
        <w:rPr>
          <w:color w:val="auto"/>
          <w:highlight w:val="none"/>
        </w:rPr>
        <w:t>向全社会公开</w:t>
      </w:r>
      <w:r>
        <w:rPr>
          <w:rFonts w:hint="eastAsia"/>
          <w:color w:val="auto"/>
          <w:highlight w:val="none"/>
        </w:rPr>
        <w:t>招募遴选合作单位，并就招募事项公告如下：</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ascii="黑体" w:hAnsi="黑体" w:eastAsia="黑体" w:cs="黑体"/>
          <w:color w:val="auto"/>
          <w:highlight w:val="none"/>
        </w:rPr>
      </w:pPr>
      <w:r>
        <w:rPr>
          <w:rFonts w:hint="eastAsia" w:ascii="黑体" w:hAnsi="黑体" w:eastAsia="黑体" w:cs="黑体"/>
          <w:color w:val="auto"/>
          <w:highlight w:val="none"/>
        </w:rPr>
        <w:t>一、招募主体</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color w:val="auto"/>
          <w:highlight w:val="none"/>
        </w:rPr>
      </w:pPr>
      <w:r>
        <w:rPr>
          <w:rFonts w:hint="eastAsia"/>
          <w:color w:val="auto"/>
          <w:highlight w:val="none"/>
        </w:rPr>
        <w:t>长沙市产业投资集团有限公司下属长沙市土地开发建设有限责任公司是</w:t>
      </w:r>
      <w:r>
        <w:rPr>
          <w:color w:val="auto"/>
          <w:highlight w:val="none"/>
        </w:rPr>
        <w:t>公开</w:t>
      </w:r>
      <w:r>
        <w:rPr>
          <w:rFonts w:hint="eastAsia"/>
          <w:color w:val="auto"/>
          <w:highlight w:val="none"/>
        </w:rPr>
        <w:t>招募遴选长投新成公寓运营合作单位的唯一合法招募主体。长沙市土地开发建设有限责任公司委托长沙市招投标有限公司（以下简称“代理公司”）协助开展招募工作，由代理公司组织发布招募遴选公告、接受报名、组织专家评审、发布结果公告等。</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ascii="黑体" w:hAnsi="黑体" w:eastAsia="黑体" w:cs="黑体"/>
          <w:color w:val="auto"/>
          <w:szCs w:val="32"/>
          <w:highlight w:val="none"/>
        </w:rPr>
      </w:pPr>
      <w:r>
        <w:rPr>
          <w:rFonts w:hint="eastAsia" w:ascii="黑体" w:hAnsi="黑体" w:eastAsia="黑体" w:cs="黑体"/>
          <w:color w:val="auto"/>
          <w:highlight w:val="none"/>
        </w:rPr>
        <w:t>二、</w:t>
      </w:r>
      <w:r>
        <w:rPr>
          <w:rFonts w:hint="eastAsia" w:ascii="黑体" w:hAnsi="黑体" w:eastAsia="黑体" w:cs="黑体"/>
          <w:color w:val="auto"/>
          <w:szCs w:val="32"/>
          <w:highlight w:val="none"/>
        </w:rPr>
        <w:t>合作方式</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color w:val="auto"/>
          <w:highlight w:val="none"/>
        </w:rPr>
      </w:pPr>
      <w:r>
        <w:rPr>
          <w:rFonts w:hint="eastAsia"/>
          <w:color w:val="auto"/>
          <w:highlight w:val="none"/>
        </w:rPr>
        <w:t>（一）概述</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color w:val="auto"/>
          <w:highlight w:val="none"/>
        </w:rPr>
      </w:pPr>
      <w:r>
        <w:rPr>
          <w:rFonts w:hint="eastAsia"/>
          <w:color w:val="auto"/>
          <w:highlight w:val="none"/>
        </w:rPr>
        <w:t>长投新成公寓项目（含房间、底商、停车场）委托专业化运营企业运营，运营期的经营收入归我司所有，由我司设置一个一般账户作为双方共管账户进行收款和支付经营支出。经营支出设上限，在上限范围内实报实销。委托管理费与项目经营业绩挂钩，以是否达到目标毛利润作为考核条件，以毛利润为计算口径。</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color w:val="auto"/>
          <w:highlight w:val="none"/>
        </w:rPr>
      </w:pPr>
      <w:r>
        <w:rPr>
          <w:rFonts w:hint="eastAsia"/>
          <w:color w:val="auto"/>
          <w:highlight w:val="none"/>
        </w:rPr>
        <w:t>（二）定义和解释</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hint="eastAsia"/>
          <w:color w:val="auto"/>
          <w:highlight w:val="none"/>
        </w:rPr>
      </w:pPr>
      <w:r>
        <w:rPr>
          <w:rFonts w:hint="eastAsia"/>
          <w:color w:val="auto"/>
          <w:highlight w:val="none"/>
        </w:rPr>
        <w:t>1.经营收入：是指除正常履约的押金之外，经营项目期间产生的所有经营收入。包括但不限于公寓、商铺、车位、广告位等收入，以及因租户违约而罚没的押金等收入。</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hint="eastAsia"/>
          <w:color w:val="auto"/>
          <w:highlight w:val="none"/>
        </w:rPr>
      </w:pPr>
      <w:r>
        <w:rPr>
          <w:rFonts w:hint="eastAsia"/>
          <w:color w:val="auto"/>
          <w:highlight w:val="none"/>
        </w:rPr>
        <w:t>2.经营支出：是指项目运营日起，用于维持、从事和监督项目运营的全部开支。包括以下开支：</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hint="eastAsia"/>
          <w:color w:val="auto"/>
          <w:highlight w:val="none"/>
        </w:rPr>
      </w:pPr>
      <w:r>
        <w:rPr>
          <w:rFonts w:hint="eastAsia"/>
          <w:color w:val="auto"/>
          <w:highlight w:val="none"/>
        </w:rPr>
        <w:t>（1）运营费用：前台人员费用（包含运营所需配置的店长、管家等人员全口径费用及员工活动费用）、房间设施设备维护费用（户内零星工程）、客户活动费用等。</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hint="eastAsia"/>
          <w:color w:val="auto"/>
          <w:highlight w:val="none"/>
        </w:rPr>
      </w:pPr>
      <w:r>
        <w:rPr>
          <w:rFonts w:hint="eastAsia"/>
          <w:color w:val="auto"/>
          <w:highlight w:val="none"/>
        </w:rPr>
        <w:t>（2）营销费用：项目日常推广宣传费、销售资料费、中介佣金、公共关系维护、项目营销渠道费等。</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hint="eastAsia"/>
          <w:color w:val="auto"/>
          <w:highlight w:val="none"/>
        </w:rPr>
      </w:pPr>
      <w:r>
        <w:rPr>
          <w:rFonts w:hint="eastAsia"/>
          <w:color w:val="auto"/>
          <w:highlight w:val="none"/>
        </w:rPr>
        <w:t>（3）</w:t>
      </w:r>
      <w:bookmarkStart w:id="0" w:name="_GoBack"/>
      <w:bookmarkEnd w:id="0"/>
      <w:r>
        <w:rPr>
          <w:rFonts w:hint="eastAsia"/>
          <w:color w:val="auto"/>
          <w:highlight w:val="none"/>
        </w:rPr>
        <w:t>物业管理费用：包含管理整栋大楼的物业人员经费、公区能耗、环境清洁费、秩序维护、零星改造工程、公共区域设施设备维修维护费用等。</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hint="eastAsia"/>
          <w:color w:val="auto"/>
          <w:highlight w:val="none"/>
        </w:rPr>
      </w:pPr>
      <w:r>
        <w:rPr>
          <w:rFonts w:hint="eastAsia"/>
          <w:color w:val="auto"/>
          <w:highlight w:val="none"/>
        </w:rPr>
        <w:t>（4）品牌管理费用：项目运营中后台费用、项目运营管理系统费用等。</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hint="eastAsia"/>
          <w:color w:val="auto"/>
          <w:highlight w:val="none"/>
        </w:rPr>
      </w:pPr>
      <w:r>
        <w:rPr>
          <w:rFonts w:hint="eastAsia"/>
          <w:color w:val="auto"/>
          <w:highlight w:val="none"/>
        </w:rPr>
        <w:t>（5）开办费用：根据开业筹备计划经我司批准的、用于筹备项目开业的相关费用。包括但不仅限于购买办公固定资产、开业典礼费用、广告及市场推广费用、培训费用、筹备运营团队的差旅费及其它相关杂费等。</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hint="eastAsia"/>
          <w:color w:val="auto"/>
          <w:highlight w:val="none"/>
        </w:rPr>
      </w:pPr>
      <w:r>
        <w:rPr>
          <w:rFonts w:hint="eastAsia"/>
          <w:color w:val="auto"/>
          <w:highlight w:val="none"/>
        </w:rPr>
        <w:t>不包括以下开支：</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hint="eastAsia"/>
          <w:color w:val="auto"/>
          <w:highlight w:val="none"/>
        </w:rPr>
      </w:pPr>
      <w:r>
        <w:rPr>
          <w:rFonts w:hint="eastAsia"/>
          <w:color w:val="auto"/>
          <w:highlight w:val="none"/>
        </w:rPr>
        <w:t>（1）符合动用维修基金标准的装修、翻修、改造等费用。</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hint="eastAsia"/>
          <w:color w:val="auto"/>
          <w:highlight w:val="none"/>
        </w:rPr>
      </w:pPr>
      <w:r>
        <w:rPr>
          <w:rFonts w:hint="eastAsia"/>
          <w:color w:val="auto"/>
          <w:highlight w:val="none"/>
        </w:rPr>
        <w:t>（2）资本化资产的折旧及摊销。</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hint="eastAsia"/>
          <w:color w:val="auto"/>
          <w:highlight w:val="none"/>
        </w:rPr>
      </w:pPr>
      <w:r>
        <w:rPr>
          <w:rFonts w:hint="eastAsia"/>
          <w:color w:val="auto"/>
          <w:highlight w:val="none"/>
        </w:rPr>
        <w:t>（3）应由双方各自承担的相关税费。</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hint="eastAsia"/>
          <w:color w:val="auto"/>
          <w:highlight w:val="none"/>
        </w:rPr>
      </w:pPr>
      <w:r>
        <w:rPr>
          <w:rFonts w:hint="eastAsia"/>
          <w:color w:val="auto"/>
          <w:highlight w:val="none"/>
        </w:rPr>
        <w:t>（4）任何未经我司书面同意的、与运营管理物业无直接关系的其它各类开支或分摊。</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color w:val="auto"/>
          <w:highlight w:val="none"/>
        </w:rPr>
      </w:pPr>
      <w:r>
        <w:rPr>
          <w:rFonts w:hint="eastAsia"/>
          <w:color w:val="auto"/>
          <w:highlight w:val="none"/>
        </w:rPr>
        <w:t>3.经营年：项目开业日起至次年当月当日的前一天为第1个经营年，以后每个经营年按此计算。</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color w:val="auto"/>
          <w:highlight w:val="none"/>
        </w:rPr>
      </w:pPr>
      <w:r>
        <w:rPr>
          <w:rFonts w:hint="eastAsia"/>
          <w:color w:val="auto"/>
          <w:highlight w:val="none"/>
        </w:rPr>
        <w:t>4.毛利润=经营收入-经营支出。</w:t>
      </w:r>
    </w:p>
    <w:p>
      <w:pPr>
        <w:pStyle w:val="23"/>
        <w:keepNext w:val="0"/>
        <w:keepLines w:val="0"/>
        <w:pageBreakBefore w:val="0"/>
        <w:widowControl w:val="0"/>
        <w:kinsoku/>
        <w:wordWrap/>
        <w:overflowPunct/>
        <w:topLinePunct w:val="0"/>
        <w:autoSpaceDE/>
        <w:autoSpaceDN/>
        <w:bidi w:val="0"/>
        <w:adjustRightInd w:val="0"/>
        <w:snapToGrid w:val="0"/>
        <w:spacing w:line="600" w:lineRule="exact"/>
        <w:ind w:firstLine="640"/>
        <w:jc w:val="left"/>
        <w:textAlignment w:val="auto"/>
        <w:rPr>
          <w:color w:val="auto"/>
          <w:highlight w:val="none"/>
        </w:rPr>
      </w:pPr>
      <w:r>
        <w:rPr>
          <w:rFonts w:hint="eastAsia"/>
          <w:color w:val="auto"/>
          <w:highlight w:val="none"/>
        </w:rPr>
        <w:t>（三）</w:t>
      </w:r>
      <w:r>
        <w:rPr>
          <w:color w:val="auto"/>
          <w:highlight w:val="none"/>
        </w:rPr>
        <w:t>管理经营期限</w:t>
      </w:r>
    </w:p>
    <w:p>
      <w:pPr>
        <w:pStyle w:val="23"/>
        <w:keepNext w:val="0"/>
        <w:keepLines w:val="0"/>
        <w:pageBreakBefore w:val="0"/>
        <w:widowControl w:val="0"/>
        <w:kinsoku/>
        <w:wordWrap/>
        <w:overflowPunct/>
        <w:topLinePunct w:val="0"/>
        <w:autoSpaceDE/>
        <w:autoSpaceDN/>
        <w:bidi w:val="0"/>
        <w:adjustRightInd w:val="0"/>
        <w:snapToGrid w:val="0"/>
        <w:spacing w:line="600" w:lineRule="exact"/>
        <w:ind w:firstLine="640"/>
        <w:jc w:val="left"/>
        <w:textAlignment w:val="auto"/>
        <w:rPr>
          <w:color w:val="auto"/>
          <w:szCs w:val="32"/>
          <w:highlight w:val="none"/>
        </w:rPr>
      </w:pPr>
      <w:r>
        <w:rPr>
          <w:rFonts w:hint="eastAsia"/>
          <w:color w:val="auto"/>
          <w:szCs w:val="32"/>
          <w:highlight w:val="none"/>
        </w:rPr>
        <w:t>管理经营的期限为9年，自我司向中选人正式交付物业之日起开始计算。合同期满后双方均有意继续合作，且双方均未书面提出修改合同的，则按原合同续签6年；若任何一方提出修改合同的，则不再续签合同。</w:t>
      </w:r>
    </w:p>
    <w:p>
      <w:pPr>
        <w:pStyle w:val="23"/>
        <w:keepNext w:val="0"/>
        <w:keepLines w:val="0"/>
        <w:pageBreakBefore w:val="0"/>
        <w:widowControl w:val="0"/>
        <w:kinsoku/>
        <w:wordWrap/>
        <w:overflowPunct/>
        <w:topLinePunct w:val="0"/>
        <w:autoSpaceDE/>
        <w:autoSpaceDN/>
        <w:bidi w:val="0"/>
        <w:adjustRightInd w:val="0"/>
        <w:snapToGrid w:val="0"/>
        <w:spacing w:line="600" w:lineRule="exact"/>
        <w:ind w:firstLine="640"/>
        <w:jc w:val="left"/>
        <w:textAlignment w:val="auto"/>
        <w:rPr>
          <w:color w:val="auto"/>
          <w:highlight w:val="none"/>
        </w:rPr>
      </w:pPr>
      <w:r>
        <w:rPr>
          <w:rFonts w:hint="eastAsia"/>
          <w:color w:val="auto"/>
          <w:highlight w:val="none"/>
        </w:rPr>
        <w:t>（四）</w:t>
      </w:r>
      <w:r>
        <w:rPr>
          <w:color w:val="auto"/>
          <w:highlight w:val="none"/>
        </w:rPr>
        <w:t>退出机制</w:t>
      </w:r>
    </w:p>
    <w:p>
      <w:pPr>
        <w:pStyle w:val="23"/>
        <w:keepNext w:val="0"/>
        <w:keepLines w:val="0"/>
        <w:pageBreakBefore w:val="0"/>
        <w:widowControl w:val="0"/>
        <w:kinsoku/>
        <w:wordWrap/>
        <w:overflowPunct/>
        <w:topLinePunct w:val="0"/>
        <w:autoSpaceDE/>
        <w:autoSpaceDN/>
        <w:bidi w:val="0"/>
        <w:adjustRightInd w:val="0"/>
        <w:snapToGrid w:val="0"/>
        <w:spacing w:line="600" w:lineRule="exact"/>
        <w:ind w:firstLine="640"/>
        <w:jc w:val="left"/>
        <w:textAlignment w:val="auto"/>
        <w:rPr>
          <w:rFonts w:hint="eastAsia"/>
          <w:color w:val="auto"/>
          <w:szCs w:val="32"/>
          <w:highlight w:val="none"/>
        </w:rPr>
      </w:pPr>
      <w:r>
        <w:rPr>
          <w:rFonts w:hint="eastAsia"/>
          <w:color w:val="auto"/>
          <w:szCs w:val="32"/>
          <w:highlight w:val="none"/>
        </w:rPr>
        <w:t>以项目实际毛利润是否达到目标毛利润的比例作为退出条件。第1个经营年不设置退出条件；第2个经营年的实际毛利润≤目标毛利润的70%；第3个经营年及以后的实际毛利润≤目标毛利润的80%；则我司有权无责清退专业运营企业。</w:t>
      </w:r>
    </w:p>
    <w:p>
      <w:pPr>
        <w:pStyle w:val="23"/>
        <w:keepNext w:val="0"/>
        <w:keepLines w:val="0"/>
        <w:pageBreakBefore w:val="0"/>
        <w:widowControl w:val="0"/>
        <w:kinsoku/>
        <w:wordWrap/>
        <w:overflowPunct/>
        <w:topLinePunct w:val="0"/>
        <w:autoSpaceDE/>
        <w:autoSpaceDN/>
        <w:bidi w:val="0"/>
        <w:adjustRightInd w:val="0"/>
        <w:snapToGrid w:val="0"/>
        <w:spacing w:line="600" w:lineRule="exact"/>
        <w:ind w:firstLine="640"/>
        <w:jc w:val="left"/>
        <w:textAlignment w:val="auto"/>
        <w:rPr>
          <w:color w:val="auto"/>
          <w:highlight w:val="none"/>
        </w:rPr>
      </w:pPr>
      <w:r>
        <w:rPr>
          <w:rFonts w:hint="eastAsia"/>
          <w:color w:val="auto"/>
          <w:highlight w:val="none"/>
        </w:rPr>
        <w:t>（五）</w:t>
      </w:r>
      <w:r>
        <w:rPr>
          <w:color w:val="auto"/>
          <w:highlight w:val="none"/>
        </w:rPr>
        <w:t>委托管理费用计算规则</w:t>
      </w:r>
    </w:p>
    <w:p>
      <w:pPr>
        <w:pStyle w:val="23"/>
        <w:keepNext w:val="0"/>
        <w:keepLines w:val="0"/>
        <w:pageBreakBefore w:val="0"/>
        <w:widowControl w:val="0"/>
        <w:kinsoku/>
        <w:wordWrap/>
        <w:overflowPunct/>
        <w:topLinePunct w:val="0"/>
        <w:autoSpaceDE/>
        <w:autoSpaceDN/>
        <w:bidi w:val="0"/>
        <w:adjustRightInd w:val="0"/>
        <w:snapToGrid w:val="0"/>
        <w:spacing w:line="600" w:lineRule="exact"/>
        <w:ind w:firstLine="640"/>
        <w:jc w:val="left"/>
        <w:textAlignment w:val="auto"/>
        <w:rPr>
          <w:rFonts w:hint="eastAsia"/>
          <w:color w:val="auto"/>
          <w:szCs w:val="32"/>
          <w:highlight w:val="none"/>
        </w:rPr>
      </w:pPr>
      <w:r>
        <w:rPr>
          <w:rFonts w:hint="eastAsia"/>
          <w:color w:val="auto"/>
          <w:szCs w:val="32"/>
          <w:highlight w:val="none"/>
        </w:rPr>
        <w:t>（1）爬坡期业绩不考核：爬坡期为第1个经营年，委托管理费用为实际毛利润的A%。</w:t>
      </w:r>
    </w:p>
    <w:p>
      <w:pPr>
        <w:pStyle w:val="23"/>
        <w:keepNext w:val="0"/>
        <w:keepLines w:val="0"/>
        <w:pageBreakBefore w:val="0"/>
        <w:widowControl w:val="0"/>
        <w:kinsoku/>
        <w:wordWrap/>
        <w:overflowPunct/>
        <w:topLinePunct w:val="0"/>
        <w:autoSpaceDE/>
        <w:autoSpaceDN/>
        <w:bidi w:val="0"/>
        <w:adjustRightInd w:val="0"/>
        <w:snapToGrid w:val="0"/>
        <w:spacing w:line="600" w:lineRule="exact"/>
        <w:ind w:firstLine="640"/>
        <w:jc w:val="left"/>
        <w:textAlignment w:val="auto"/>
        <w:rPr>
          <w:rFonts w:hint="eastAsia"/>
          <w:color w:val="auto"/>
          <w:szCs w:val="32"/>
          <w:highlight w:val="none"/>
        </w:rPr>
      </w:pPr>
      <w:r>
        <w:rPr>
          <w:rFonts w:hint="eastAsia"/>
          <w:color w:val="auto"/>
          <w:szCs w:val="32"/>
          <w:highlight w:val="none"/>
        </w:rPr>
        <w:t>（2）培育期业绩考核：培育期为第2个经营年，以毛利润是否达到目标作为考核条件，委托管理费以毛利润为收取口径。第2个经营年的目标毛利润为1060万元/年。</w:t>
      </w:r>
    </w:p>
    <w:p>
      <w:pPr>
        <w:pStyle w:val="23"/>
        <w:keepNext w:val="0"/>
        <w:keepLines w:val="0"/>
        <w:pageBreakBefore w:val="0"/>
        <w:widowControl w:val="0"/>
        <w:kinsoku/>
        <w:wordWrap/>
        <w:overflowPunct/>
        <w:topLinePunct w:val="0"/>
        <w:autoSpaceDE/>
        <w:autoSpaceDN/>
        <w:bidi w:val="0"/>
        <w:adjustRightInd w:val="0"/>
        <w:snapToGrid w:val="0"/>
        <w:spacing w:line="600" w:lineRule="exact"/>
        <w:ind w:firstLine="640"/>
        <w:jc w:val="left"/>
        <w:textAlignment w:val="auto"/>
        <w:rPr>
          <w:rFonts w:hint="eastAsia"/>
          <w:color w:val="auto"/>
          <w:szCs w:val="32"/>
          <w:highlight w:val="none"/>
        </w:rPr>
      </w:pPr>
      <w:r>
        <w:rPr>
          <w:rFonts w:hint="eastAsia"/>
          <w:color w:val="auto"/>
          <w:szCs w:val="32"/>
          <w:highlight w:val="none"/>
        </w:rPr>
        <w:t>考核方式：</w:t>
      </w:r>
    </w:p>
    <w:p>
      <w:pPr>
        <w:pStyle w:val="23"/>
        <w:keepNext w:val="0"/>
        <w:keepLines w:val="0"/>
        <w:pageBreakBefore w:val="0"/>
        <w:widowControl w:val="0"/>
        <w:kinsoku/>
        <w:wordWrap/>
        <w:overflowPunct/>
        <w:topLinePunct w:val="0"/>
        <w:autoSpaceDE/>
        <w:autoSpaceDN/>
        <w:bidi w:val="0"/>
        <w:adjustRightInd w:val="0"/>
        <w:snapToGrid w:val="0"/>
        <w:spacing w:line="600" w:lineRule="exact"/>
        <w:ind w:firstLine="640"/>
        <w:jc w:val="left"/>
        <w:textAlignment w:val="auto"/>
        <w:rPr>
          <w:rFonts w:hint="eastAsia"/>
          <w:color w:val="auto"/>
          <w:szCs w:val="32"/>
          <w:highlight w:val="none"/>
        </w:rPr>
      </w:pPr>
      <w:r>
        <w:rPr>
          <w:rFonts w:hint="eastAsia"/>
          <w:color w:val="auto"/>
          <w:szCs w:val="32"/>
          <w:highlight w:val="none"/>
        </w:rPr>
        <w:t>当实际毛利润≤目标毛利润的70%，委托管理费为0；</w:t>
      </w:r>
    </w:p>
    <w:p>
      <w:pPr>
        <w:pStyle w:val="23"/>
        <w:keepNext w:val="0"/>
        <w:keepLines w:val="0"/>
        <w:pageBreakBefore w:val="0"/>
        <w:widowControl w:val="0"/>
        <w:kinsoku/>
        <w:wordWrap/>
        <w:overflowPunct/>
        <w:topLinePunct w:val="0"/>
        <w:autoSpaceDE/>
        <w:autoSpaceDN/>
        <w:bidi w:val="0"/>
        <w:adjustRightInd w:val="0"/>
        <w:snapToGrid w:val="0"/>
        <w:spacing w:line="600" w:lineRule="exact"/>
        <w:ind w:firstLine="640"/>
        <w:jc w:val="left"/>
        <w:textAlignment w:val="auto"/>
        <w:rPr>
          <w:rFonts w:hint="eastAsia"/>
          <w:color w:val="auto"/>
          <w:szCs w:val="32"/>
          <w:highlight w:val="none"/>
        </w:rPr>
      </w:pPr>
      <w:r>
        <w:rPr>
          <w:rFonts w:hint="eastAsia"/>
          <w:color w:val="auto"/>
          <w:szCs w:val="32"/>
          <w:highlight w:val="none"/>
        </w:rPr>
        <w:t>当目标毛利润的70%＜实际毛利润≤目标毛利润的75%，委托管理费为实际毛利润的3%；</w:t>
      </w:r>
    </w:p>
    <w:p>
      <w:pPr>
        <w:pStyle w:val="23"/>
        <w:keepNext w:val="0"/>
        <w:keepLines w:val="0"/>
        <w:pageBreakBefore w:val="0"/>
        <w:widowControl w:val="0"/>
        <w:kinsoku/>
        <w:wordWrap/>
        <w:overflowPunct/>
        <w:topLinePunct w:val="0"/>
        <w:autoSpaceDE/>
        <w:autoSpaceDN/>
        <w:bidi w:val="0"/>
        <w:adjustRightInd w:val="0"/>
        <w:snapToGrid w:val="0"/>
        <w:spacing w:line="600" w:lineRule="exact"/>
        <w:ind w:firstLine="640"/>
        <w:jc w:val="left"/>
        <w:textAlignment w:val="auto"/>
        <w:rPr>
          <w:rFonts w:hint="eastAsia"/>
          <w:color w:val="auto"/>
          <w:szCs w:val="32"/>
          <w:highlight w:val="none"/>
        </w:rPr>
      </w:pPr>
      <w:r>
        <w:rPr>
          <w:rFonts w:hint="eastAsia"/>
          <w:color w:val="auto"/>
          <w:szCs w:val="32"/>
          <w:highlight w:val="none"/>
        </w:rPr>
        <w:t>当目标毛利润的75%＜实际毛利润＜目标毛利润，委托管理费为实际毛利润的A%；</w:t>
      </w:r>
    </w:p>
    <w:p>
      <w:pPr>
        <w:pStyle w:val="23"/>
        <w:keepNext w:val="0"/>
        <w:keepLines w:val="0"/>
        <w:pageBreakBefore w:val="0"/>
        <w:widowControl w:val="0"/>
        <w:kinsoku/>
        <w:wordWrap/>
        <w:overflowPunct/>
        <w:topLinePunct w:val="0"/>
        <w:autoSpaceDE/>
        <w:autoSpaceDN/>
        <w:bidi w:val="0"/>
        <w:adjustRightInd w:val="0"/>
        <w:snapToGrid w:val="0"/>
        <w:spacing w:line="600" w:lineRule="exact"/>
        <w:ind w:firstLine="640"/>
        <w:jc w:val="left"/>
        <w:textAlignment w:val="auto"/>
        <w:rPr>
          <w:rFonts w:hint="eastAsia"/>
          <w:color w:val="auto"/>
          <w:szCs w:val="32"/>
          <w:highlight w:val="none"/>
        </w:rPr>
      </w:pPr>
      <w:r>
        <w:rPr>
          <w:rFonts w:hint="eastAsia"/>
          <w:color w:val="auto"/>
          <w:szCs w:val="32"/>
          <w:highlight w:val="none"/>
        </w:rPr>
        <w:t>当实际毛利润≥目标毛利润，委托管理费为目标毛利润的A%+超额（实际毛利润-目标毛利润）部分的55%。</w:t>
      </w:r>
    </w:p>
    <w:p>
      <w:pPr>
        <w:pStyle w:val="23"/>
        <w:keepNext w:val="0"/>
        <w:keepLines w:val="0"/>
        <w:pageBreakBefore w:val="0"/>
        <w:widowControl w:val="0"/>
        <w:kinsoku/>
        <w:wordWrap/>
        <w:overflowPunct/>
        <w:topLinePunct w:val="0"/>
        <w:autoSpaceDE/>
        <w:autoSpaceDN/>
        <w:bidi w:val="0"/>
        <w:adjustRightInd w:val="0"/>
        <w:snapToGrid w:val="0"/>
        <w:spacing w:line="600" w:lineRule="exact"/>
        <w:ind w:firstLine="640"/>
        <w:jc w:val="left"/>
        <w:textAlignment w:val="auto"/>
        <w:rPr>
          <w:rFonts w:hint="eastAsia"/>
          <w:color w:val="auto"/>
          <w:szCs w:val="32"/>
          <w:highlight w:val="none"/>
        </w:rPr>
      </w:pPr>
      <w:r>
        <w:rPr>
          <w:rFonts w:hint="eastAsia"/>
          <w:color w:val="auto"/>
          <w:szCs w:val="32"/>
          <w:highlight w:val="none"/>
        </w:rPr>
        <w:t>（3）稳定期业绩考核：稳定期为第3个经营年及以后，以毛利润是否达到目标作为考核条件，委托管理费以毛利润为收取口径。第3个经营年的目标毛利润为1071万元/年，年增幅为1%。</w:t>
      </w:r>
    </w:p>
    <w:p>
      <w:pPr>
        <w:pStyle w:val="23"/>
        <w:keepNext w:val="0"/>
        <w:keepLines w:val="0"/>
        <w:pageBreakBefore w:val="0"/>
        <w:widowControl w:val="0"/>
        <w:kinsoku/>
        <w:wordWrap/>
        <w:overflowPunct/>
        <w:topLinePunct w:val="0"/>
        <w:autoSpaceDE/>
        <w:autoSpaceDN/>
        <w:bidi w:val="0"/>
        <w:adjustRightInd w:val="0"/>
        <w:snapToGrid w:val="0"/>
        <w:spacing w:line="600" w:lineRule="exact"/>
        <w:ind w:firstLine="640"/>
        <w:jc w:val="left"/>
        <w:textAlignment w:val="auto"/>
        <w:rPr>
          <w:rFonts w:hint="eastAsia"/>
          <w:color w:val="auto"/>
          <w:szCs w:val="32"/>
          <w:highlight w:val="none"/>
        </w:rPr>
      </w:pPr>
      <w:r>
        <w:rPr>
          <w:rFonts w:hint="eastAsia"/>
          <w:color w:val="auto"/>
          <w:szCs w:val="32"/>
          <w:highlight w:val="none"/>
        </w:rPr>
        <w:t>考核方式：</w:t>
      </w:r>
    </w:p>
    <w:p>
      <w:pPr>
        <w:pStyle w:val="23"/>
        <w:keepNext w:val="0"/>
        <w:keepLines w:val="0"/>
        <w:pageBreakBefore w:val="0"/>
        <w:widowControl w:val="0"/>
        <w:kinsoku/>
        <w:wordWrap/>
        <w:overflowPunct/>
        <w:topLinePunct w:val="0"/>
        <w:autoSpaceDE/>
        <w:autoSpaceDN/>
        <w:bidi w:val="0"/>
        <w:adjustRightInd w:val="0"/>
        <w:snapToGrid w:val="0"/>
        <w:spacing w:line="600" w:lineRule="exact"/>
        <w:ind w:firstLine="640"/>
        <w:jc w:val="left"/>
        <w:textAlignment w:val="auto"/>
        <w:rPr>
          <w:rFonts w:hint="eastAsia"/>
          <w:color w:val="auto"/>
          <w:szCs w:val="32"/>
          <w:highlight w:val="none"/>
        </w:rPr>
      </w:pPr>
      <w:r>
        <w:rPr>
          <w:rFonts w:hint="eastAsia"/>
          <w:color w:val="auto"/>
          <w:szCs w:val="32"/>
          <w:highlight w:val="none"/>
        </w:rPr>
        <w:t>当实际毛利润≤目标毛利润的80%，委托管理费为0；</w:t>
      </w:r>
    </w:p>
    <w:p>
      <w:pPr>
        <w:pStyle w:val="23"/>
        <w:keepNext w:val="0"/>
        <w:keepLines w:val="0"/>
        <w:pageBreakBefore w:val="0"/>
        <w:widowControl w:val="0"/>
        <w:kinsoku/>
        <w:wordWrap/>
        <w:overflowPunct/>
        <w:topLinePunct w:val="0"/>
        <w:autoSpaceDE/>
        <w:autoSpaceDN/>
        <w:bidi w:val="0"/>
        <w:adjustRightInd w:val="0"/>
        <w:snapToGrid w:val="0"/>
        <w:spacing w:line="600" w:lineRule="exact"/>
        <w:ind w:firstLine="640"/>
        <w:jc w:val="left"/>
        <w:textAlignment w:val="auto"/>
        <w:rPr>
          <w:rFonts w:hint="eastAsia"/>
          <w:color w:val="auto"/>
          <w:szCs w:val="32"/>
          <w:highlight w:val="none"/>
        </w:rPr>
      </w:pPr>
      <w:r>
        <w:rPr>
          <w:rFonts w:hint="eastAsia"/>
          <w:color w:val="auto"/>
          <w:szCs w:val="32"/>
          <w:highlight w:val="none"/>
        </w:rPr>
        <w:t>当目标毛利润的80%＜实际毛利润≤目标毛利润的85%，委托管理费为实际毛利润的3%。</w:t>
      </w:r>
    </w:p>
    <w:p>
      <w:pPr>
        <w:pStyle w:val="23"/>
        <w:keepNext w:val="0"/>
        <w:keepLines w:val="0"/>
        <w:pageBreakBefore w:val="0"/>
        <w:widowControl w:val="0"/>
        <w:kinsoku/>
        <w:wordWrap/>
        <w:overflowPunct/>
        <w:topLinePunct w:val="0"/>
        <w:autoSpaceDE/>
        <w:autoSpaceDN/>
        <w:bidi w:val="0"/>
        <w:adjustRightInd w:val="0"/>
        <w:snapToGrid w:val="0"/>
        <w:spacing w:line="600" w:lineRule="exact"/>
        <w:ind w:firstLine="640"/>
        <w:jc w:val="left"/>
        <w:textAlignment w:val="auto"/>
        <w:rPr>
          <w:rFonts w:hint="eastAsia"/>
          <w:color w:val="auto"/>
          <w:szCs w:val="32"/>
          <w:highlight w:val="none"/>
        </w:rPr>
      </w:pPr>
      <w:r>
        <w:rPr>
          <w:rFonts w:hint="eastAsia"/>
          <w:color w:val="auto"/>
          <w:szCs w:val="32"/>
          <w:highlight w:val="none"/>
        </w:rPr>
        <w:t>当目标毛利润的85%＜实际毛利润＜目标毛利润，委托管理费为实际毛利润的A%。</w:t>
      </w:r>
    </w:p>
    <w:p>
      <w:pPr>
        <w:pStyle w:val="23"/>
        <w:keepNext w:val="0"/>
        <w:keepLines w:val="0"/>
        <w:pageBreakBefore w:val="0"/>
        <w:widowControl w:val="0"/>
        <w:kinsoku/>
        <w:wordWrap/>
        <w:overflowPunct/>
        <w:topLinePunct w:val="0"/>
        <w:autoSpaceDE/>
        <w:autoSpaceDN/>
        <w:bidi w:val="0"/>
        <w:adjustRightInd w:val="0"/>
        <w:snapToGrid w:val="0"/>
        <w:spacing w:line="600" w:lineRule="exact"/>
        <w:ind w:firstLine="640"/>
        <w:jc w:val="left"/>
        <w:textAlignment w:val="auto"/>
        <w:rPr>
          <w:rFonts w:hint="eastAsia"/>
          <w:color w:val="auto"/>
          <w:szCs w:val="32"/>
          <w:highlight w:val="none"/>
        </w:rPr>
      </w:pPr>
      <w:r>
        <w:rPr>
          <w:rFonts w:hint="eastAsia"/>
          <w:color w:val="auto"/>
          <w:szCs w:val="32"/>
          <w:highlight w:val="none"/>
        </w:rPr>
        <w:t>当实际毛利润≥目标毛利润，委托管理费为目标毛利润的A%+超额（实际毛利润-目标毛利润）部分的55%。</w:t>
      </w:r>
    </w:p>
    <w:p>
      <w:pPr>
        <w:pStyle w:val="23"/>
        <w:keepNext w:val="0"/>
        <w:keepLines w:val="0"/>
        <w:pageBreakBefore w:val="0"/>
        <w:widowControl w:val="0"/>
        <w:kinsoku/>
        <w:wordWrap/>
        <w:overflowPunct/>
        <w:topLinePunct w:val="0"/>
        <w:autoSpaceDE/>
        <w:autoSpaceDN/>
        <w:bidi w:val="0"/>
        <w:adjustRightInd w:val="0"/>
        <w:snapToGrid w:val="0"/>
        <w:spacing w:line="600" w:lineRule="exact"/>
        <w:ind w:firstLine="640"/>
        <w:jc w:val="left"/>
        <w:textAlignment w:val="auto"/>
        <w:rPr>
          <w:rFonts w:hint="eastAsia"/>
          <w:color w:val="auto"/>
          <w:szCs w:val="32"/>
          <w:highlight w:val="none"/>
        </w:rPr>
      </w:pPr>
      <w:r>
        <w:rPr>
          <w:rFonts w:hint="eastAsia"/>
          <w:color w:val="auto"/>
          <w:szCs w:val="32"/>
          <w:highlight w:val="none"/>
        </w:rPr>
        <w:t>委托管理费报价A不得高于11%。</w:t>
      </w:r>
    </w:p>
    <w:p>
      <w:pPr>
        <w:pStyle w:val="23"/>
        <w:keepNext w:val="0"/>
        <w:keepLines w:val="0"/>
        <w:pageBreakBefore w:val="0"/>
        <w:widowControl w:val="0"/>
        <w:kinsoku/>
        <w:wordWrap/>
        <w:overflowPunct/>
        <w:topLinePunct w:val="0"/>
        <w:autoSpaceDE/>
        <w:autoSpaceDN/>
        <w:bidi w:val="0"/>
        <w:adjustRightInd w:val="0"/>
        <w:snapToGrid w:val="0"/>
        <w:spacing w:line="600" w:lineRule="exact"/>
        <w:ind w:firstLine="640"/>
        <w:jc w:val="left"/>
        <w:textAlignment w:val="auto"/>
        <w:rPr>
          <w:color w:val="auto"/>
          <w:szCs w:val="32"/>
          <w:highlight w:val="none"/>
        </w:rPr>
      </w:pPr>
      <w:r>
        <w:rPr>
          <w:rFonts w:hint="eastAsia"/>
          <w:color w:val="auto"/>
          <w:szCs w:val="32"/>
          <w:highlight w:val="none"/>
        </w:rPr>
        <w:t>（</w:t>
      </w:r>
      <w:r>
        <w:rPr>
          <w:rFonts w:hint="eastAsia"/>
          <w:color w:val="auto"/>
          <w:szCs w:val="32"/>
          <w:highlight w:val="none"/>
          <w:lang w:val="en-US" w:eastAsia="zh-CN"/>
        </w:rPr>
        <w:t>六</w:t>
      </w:r>
      <w:r>
        <w:rPr>
          <w:rFonts w:hint="eastAsia"/>
          <w:color w:val="auto"/>
          <w:szCs w:val="32"/>
          <w:highlight w:val="none"/>
        </w:rPr>
        <w:t>）</w:t>
      </w:r>
      <w:r>
        <w:rPr>
          <w:color w:val="auto"/>
          <w:szCs w:val="32"/>
          <w:highlight w:val="none"/>
        </w:rPr>
        <w:t>经营支出规则</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hint="eastAsia"/>
          <w:color w:val="auto"/>
          <w:szCs w:val="32"/>
          <w:highlight w:val="none"/>
        </w:rPr>
      </w:pPr>
      <w:r>
        <w:rPr>
          <w:rFonts w:hint="eastAsia"/>
          <w:color w:val="auto"/>
          <w:szCs w:val="32"/>
          <w:highlight w:val="none"/>
        </w:rPr>
        <w:t xml:space="preserve">经营支出设上限，在上限范围内实报实销。其中品牌管理费不高于当年营业收入的5%；物业管理费第1个经营年不高于122万元/年，年涨幅不高于2%。 </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hint="eastAsia"/>
          <w:color w:val="auto"/>
          <w:szCs w:val="32"/>
          <w:highlight w:val="none"/>
        </w:rPr>
      </w:pPr>
      <w:r>
        <w:rPr>
          <w:rFonts w:hint="eastAsia"/>
          <w:color w:val="auto"/>
          <w:szCs w:val="32"/>
          <w:highlight w:val="none"/>
        </w:rPr>
        <w:t>上限设置规则：</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hint="eastAsia"/>
          <w:color w:val="auto"/>
          <w:szCs w:val="32"/>
          <w:highlight w:val="none"/>
        </w:rPr>
      </w:pPr>
      <w:r>
        <w:rPr>
          <w:rFonts w:hint="eastAsia"/>
          <w:color w:val="auto"/>
          <w:szCs w:val="32"/>
          <w:highlight w:val="none"/>
        </w:rPr>
        <w:t>第1个经营年，经营支出上限为360元/间/月*942间*12个月加不超过100万的开办费用。</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hint="eastAsia"/>
          <w:color w:val="auto"/>
          <w:szCs w:val="32"/>
          <w:highlight w:val="none"/>
        </w:rPr>
      </w:pPr>
      <w:r>
        <w:rPr>
          <w:rFonts w:hint="eastAsia"/>
          <w:color w:val="auto"/>
          <w:szCs w:val="32"/>
          <w:highlight w:val="none"/>
        </w:rPr>
        <w:t>第2个经营年，经营支出上限为360元/间/月*942间*12个月。</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hint="eastAsia"/>
          <w:color w:val="auto"/>
          <w:szCs w:val="32"/>
          <w:highlight w:val="none"/>
        </w:rPr>
      </w:pPr>
      <w:r>
        <w:rPr>
          <w:rFonts w:hint="eastAsia"/>
          <w:color w:val="auto"/>
          <w:szCs w:val="32"/>
          <w:highlight w:val="none"/>
        </w:rPr>
        <w:t>以后每个经营年，经营支出上限涨幅不高于2%（经营支出的涨幅不得高于经营收入的涨幅）。</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ascii="黑体" w:hAnsi="黑体" w:eastAsia="黑体" w:cs="黑体"/>
          <w:color w:val="auto"/>
          <w:highlight w:val="none"/>
        </w:rPr>
      </w:pPr>
      <w:r>
        <w:rPr>
          <w:rFonts w:hint="eastAsia" w:ascii="黑体" w:hAnsi="黑体" w:eastAsia="黑体" w:cs="黑体"/>
          <w:color w:val="auto"/>
          <w:highlight w:val="none"/>
        </w:rPr>
        <w:t>三、招募条件</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color w:val="auto"/>
          <w:highlight w:val="none"/>
        </w:rPr>
      </w:pPr>
      <w:r>
        <w:rPr>
          <w:rFonts w:hint="eastAsia"/>
          <w:color w:val="auto"/>
          <w:highlight w:val="none"/>
        </w:rPr>
        <w:t>按照法治化、市场化原则，公平、公正、公开对全体意向投资者进行公开招募。意向合作单位（以下简称“申请人”）须具备的主要条件如下：</w:t>
      </w:r>
    </w:p>
    <w:p>
      <w:pPr>
        <w:keepNext w:val="0"/>
        <w:keepLines w:val="0"/>
        <w:pageBreakBefore w:val="0"/>
        <w:widowControl w:val="0"/>
        <w:numPr>
          <w:ilvl w:val="0"/>
          <w:numId w:val="1"/>
        </w:numPr>
        <w:kinsoku/>
        <w:wordWrap/>
        <w:overflowPunct/>
        <w:topLinePunct w:val="0"/>
        <w:autoSpaceDE/>
        <w:autoSpaceDN/>
        <w:bidi w:val="0"/>
        <w:adjustRightInd w:val="0"/>
        <w:snapToGrid w:val="0"/>
        <w:spacing w:line="600" w:lineRule="exact"/>
        <w:ind w:firstLine="640"/>
        <w:textAlignment w:val="auto"/>
        <w:rPr>
          <w:color w:val="auto"/>
          <w:highlight w:val="none"/>
        </w:rPr>
      </w:pPr>
      <w:r>
        <w:rPr>
          <w:rFonts w:hint="eastAsia"/>
          <w:color w:val="auto"/>
          <w:highlight w:val="none"/>
        </w:rPr>
        <w:t>申请人必须为中华人民共和国境内合法注册的独立法人，营业执照处于有效期。并提供连续三个月的依法缴纳税收和社会保障资金的良好记录。</w:t>
      </w:r>
    </w:p>
    <w:p>
      <w:pPr>
        <w:keepNext w:val="0"/>
        <w:keepLines w:val="0"/>
        <w:pageBreakBefore w:val="0"/>
        <w:widowControl w:val="0"/>
        <w:numPr>
          <w:ilvl w:val="0"/>
          <w:numId w:val="1"/>
        </w:numPr>
        <w:kinsoku/>
        <w:wordWrap/>
        <w:overflowPunct/>
        <w:topLinePunct w:val="0"/>
        <w:autoSpaceDE/>
        <w:autoSpaceDN/>
        <w:bidi w:val="0"/>
        <w:adjustRightInd w:val="0"/>
        <w:snapToGrid w:val="0"/>
        <w:spacing w:line="600" w:lineRule="exact"/>
        <w:ind w:firstLine="640"/>
        <w:textAlignment w:val="auto"/>
        <w:rPr>
          <w:color w:val="auto"/>
          <w:highlight w:val="none"/>
        </w:rPr>
      </w:pPr>
      <w:r>
        <w:rPr>
          <w:rFonts w:hint="eastAsia"/>
          <w:color w:val="auto"/>
          <w:highlight w:val="none"/>
        </w:rPr>
        <w:t>申请人或其关联公司在长沙行政区域范围内，具有500间一年以上</w:t>
      </w:r>
      <w:r>
        <w:rPr>
          <w:rFonts w:hint="eastAsia" w:ascii="仿宋_GB2312" w:hAnsi="仿宋_GB2312" w:cs="仿宋_GB2312"/>
          <w:color w:val="auto"/>
          <w:highlight w:val="none"/>
        </w:rPr>
        <w:t>（至合作申请文件递交截止时间止）</w:t>
      </w:r>
      <w:r>
        <w:rPr>
          <w:rFonts w:hint="eastAsia"/>
          <w:color w:val="auto"/>
          <w:highlight w:val="none"/>
        </w:rPr>
        <w:t>的集中式长租公寓或酒店式公寓正常运营，此处集中式定义为单体项目不低于100间，低于100间的单体项目不计入总数。</w:t>
      </w:r>
    </w:p>
    <w:p>
      <w:pPr>
        <w:keepNext w:val="0"/>
        <w:keepLines w:val="0"/>
        <w:pageBreakBefore w:val="0"/>
        <w:widowControl w:val="0"/>
        <w:numPr>
          <w:ilvl w:val="0"/>
          <w:numId w:val="1"/>
        </w:numPr>
        <w:kinsoku/>
        <w:wordWrap/>
        <w:overflowPunct/>
        <w:topLinePunct w:val="0"/>
        <w:autoSpaceDE/>
        <w:autoSpaceDN/>
        <w:bidi w:val="0"/>
        <w:adjustRightInd w:val="0"/>
        <w:snapToGrid w:val="0"/>
        <w:spacing w:line="600" w:lineRule="exact"/>
        <w:ind w:firstLine="640"/>
        <w:textAlignment w:val="auto"/>
        <w:rPr>
          <w:color w:val="auto"/>
          <w:highlight w:val="none"/>
        </w:rPr>
      </w:pPr>
      <w:r>
        <w:rPr>
          <w:rFonts w:hint="eastAsia"/>
          <w:color w:val="auto"/>
          <w:highlight w:val="none"/>
        </w:rPr>
        <w:t>申请人具有自主开发的或单独授权使用的租赁住房运营管理系统且实际运用于项目一年以上</w:t>
      </w:r>
      <w:r>
        <w:rPr>
          <w:rFonts w:hint="eastAsia" w:ascii="仿宋_GB2312" w:hAnsi="仿宋_GB2312" w:cs="仿宋_GB2312"/>
          <w:color w:val="auto"/>
          <w:highlight w:val="none"/>
        </w:rPr>
        <w:t>（至合作申请文件递交截止时间止）</w:t>
      </w:r>
      <w:r>
        <w:rPr>
          <w:rFonts w:hint="eastAsia"/>
          <w:color w:val="auto"/>
          <w:highlight w:val="none"/>
        </w:rPr>
        <w:t>。</w:t>
      </w:r>
    </w:p>
    <w:p>
      <w:pPr>
        <w:pStyle w:val="2"/>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color w:val="auto"/>
          <w:szCs w:val="22"/>
          <w:highlight w:val="none"/>
        </w:rPr>
      </w:pPr>
      <w:r>
        <w:rPr>
          <w:rFonts w:hint="eastAsia"/>
          <w:color w:val="auto"/>
          <w:highlight w:val="none"/>
        </w:rPr>
        <w:t>（4）</w:t>
      </w:r>
      <w:r>
        <w:rPr>
          <w:rFonts w:hint="eastAsia"/>
          <w:color w:val="auto"/>
          <w:szCs w:val="22"/>
          <w:highlight w:val="none"/>
        </w:rPr>
        <w:t>申请人或控股母公司注册资本金≥2000万元。</w:t>
      </w:r>
    </w:p>
    <w:p>
      <w:pPr>
        <w:pStyle w:val="2"/>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color w:val="auto"/>
          <w:highlight w:val="none"/>
        </w:rPr>
      </w:pPr>
      <w:r>
        <w:rPr>
          <w:rFonts w:hint="eastAsia"/>
          <w:color w:val="auto"/>
          <w:highlight w:val="none"/>
        </w:rPr>
        <w:t>（5）申请人近三年（截止至本公告发布前36个月）内在经营活动中没有重大违法记录，未被“信用中国”网站列入失信被执行人和重大税收违法案件当事人名单，不存在潜在或未决重大诉讼、仲裁及争议（提供“信用中国”网站和“国家企业信用信息公示系统”信用信息系统查询打印件）。</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color w:val="auto"/>
          <w:highlight w:val="none"/>
        </w:rPr>
      </w:pPr>
      <w:r>
        <w:rPr>
          <w:rFonts w:hint="eastAsia"/>
          <w:color w:val="auto"/>
          <w:highlight w:val="none"/>
        </w:rPr>
        <w:t>（6）本次招选不接受联合体参与。</w:t>
      </w:r>
    </w:p>
    <w:p>
      <w:pPr>
        <w:pStyle w:val="2"/>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textAlignment w:val="auto"/>
        <w:rPr>
          <w:b/>
          <w:bCs/>
          <w:color w:val="auto"/>
          <w:highlight w:val="none"/>
        </w:rPr>
      </w:pPr>
      <w:r>
        <w:rPr>
          <w:rFonts w:hint="eastAsia"/>
          <w:b/>
          <w:bCs/>
          <w:color w:val="auto"/>
          <w:highlight w:val="none"/>
        </w:rPr>
        <w:t>注：连续三个月指202</w:t>
      </w:r>
      <w:r>
        <w:rPr>
          <w:rFonts w:hint="eastAsia"/>
          <w:b/>
          <w:bCs/>
          <w:color w:val="auto"/>
          <w:highlight w:val="none"/>
          <w:lang w:val="en-US" w:eastAsia="zh-CN"/>
        </w:rPr>
        <w:t>2</w:t>
      </w:r>
      <w:r>
        <w:rPr>
          <w:rFonts w:hint="eastAsia"/>
          <w:b/>
          <w:bCs/>
          <w:color w:val="auto"/>
          <w:highlight w:val="none"/>
        </w:rPr>
        <w:t>年</w:t>
      </w:r>
      <w:r>
        <w:rPr>
          <w:rFonts w:hint="eastAsia"/>
          <w:b/>
          <w:bCs/>
          <w:color w:val="auto"/>
          <w:highlight w:val="none"/>
          <w:lang w:val="en-US" w:eastAsia="zh-CN"/>
        </w:rPr>
        <w:t>12</w:t>
      </w:r>
      <w:r>
        <w:rPr>
          <w:rFonts w:hint="eastAsia"/>
          <w:b/>
          <w:bCs/>
          <w:color w:val="auto"/>
          <w:highlight w:val="none"/>
        </w:rPr>
        <w:t>月-2023年</w:t>
      </w:r>
      <w:r>
        <w:rPr>
          <w:rFonts w:hint="eastAsia"/>
          <w:b/>
          <w:bCs/>
          <w:color w:val="auto"/>
          <w:highlight w:val="none"/>
          <w:lang w:val="en-US" w:eastAsia="zh-CN"/>
        </w:rPr>
        <w:t>2</w:t>
      </w:r>
      <w:r>
        <w:rPr>
          <w:rFonts w:hint="eastAsia"/>
          <w:b/>
          <w:bCs/>
          <w:color w:val="auto"/>
          <w:highlight w:val="none"/>
        </w:rPr>
        <w:t>月</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ascii="黑体" w:hAnsi="黑体" w:eastAsia="黑体" w:cs="黑体"/>
          <w:color w:val="auto"/>
          <w:highlight w:val="none"/>
        </w:rPr>
      </w:pPr>
      <w:r>
        <w:rPr>
          <w:rFonts w:hint="eastAsia" w:ascii="黑体" w:hAnsi="黑体" w:eastAsia="黑体" w:cs="黑体"/>
          <w:color w:val="auto"/>
          <w:highlight w:val="none"/>
        </w:rPr>
        <w:t>四、</w:t>
      </w:r>
      <w:r>
        <w:rPr>
          <w:rFonts w:ascii="黑体" w:hAnsi="黑体" w:eastAsia="黑体" w:cs="黑体"/>
          <w:color w:val="auto"/>
          <w:highlight w:val="none"/>
        </w:rPr>
        <w:t>招募</w:t>
      </w:r>
      <w:r>
        <w:rPr>
          <w:rFonts w:hint="eastAsia" w:ascii="黑体" w:hAnsi="黑体" w:eastAsia="黑体" w:cs="黑体"/>
          <w:color w:val="auto"/>
          <w:highlight w:val="none"/>
        </w:rPr>
        <w:t>流程</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ascii="仿宋_GB2312" w:hAnsi="仿宋_GB2312" w:cs="仿宋_GB2312"/>
          <w:color w:val="auto"/>
          <w:highlight w:val="none"/>
        </w:rPr>
      </w:pPr>
      <w:r>
        <w:rPr>
          <w:rFonts w:hint="eastAsia" w:ascii="仿宋_GB2312" w:hAnsi="仿宋_GB2312" w:cs="仿宋_GB2312"/>
          <w:color w:val="auto"/>
          <w:highlight w:val="none"/>
        </w:rPr>
        <w:t>（一）报名</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hint="default" w:ascii="Times New Roman" w:hAnsi="Times New Roman" w:eastAsia="仿宋_GB2312" w:cs="Times New Roman"/>
          <w:color w:val="auto"/>
          <w:highlight w:val="none"/>
          <w:lang w:val="en-US" w:eastAsia="zh-CN"/>
        </w:rPr>
      </w:pPr>
      <w:r>
        <w:rPr>
          <w:rFonts w:hint="default" w:ascii="Times New Roman" w:hAnsi="Times New Roman" w:cs="Times New Roman"/>
          <w:color w:val="auto"/>
          <w:highlight w:val="none"/>
        </w:rPr>
        <w:t>1.报名时间。申请人应于2023年</w:t>
      </w:r>
      <w:r>
        <w:rPr>
          <w:rFonts w:hint="default" w:ascii="Times New Roman" w:hAnsi="Times New Roman" w:cs="Times New Roman"/>
          <w:color w:val="auto"/>
          <w:highlight w:val="none"/>
          <w:lang w:val="en-US" w:eastAsia="zh-CN"/>
        </w:rPr>
        <w:t>3</w:t>
      </w:r>
      <w:r>
        <w:rPr>
          <w:rFonts w:hint="default" w:ascii="Times New Roman" w:hAnsi="Times New Roman" w:cs="Times New Roman"/>
          <w:color w:val="auto"/>
          <w:highlight w:val="none"/>
        </w:rPr>
        <w:t>月</w:t>
      </w:r>
      <w:r>
        <w:rPr>
          <w:rFonts w:hint="default" w:ascii="Times New Roman" w:hAnsi="Times New Roman" w:cs="Times New Roman"/>
          <w:color w:val="auto"/>
          <w:highlight w:val="none"/>
          <w:lang w:val="en-US" w:eastAsia="zh-CN"/>
        </w:rPr>
        <w:t>23</w:t>
      </w:r>
      <w:r>
        <w:rPr>
          <w:rFonts w:hint="default" w:ascii="Times New Roman" w:hAnsi="Times New Roman" w:cs="Times New Roman"/>
          <w:color w:val="auto"/>
          <w:highlight w:val="none"/>
        </w:rPr>
        <w:t>日17:00（北京时间）前提交报名材料</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遴选文件费400元，报名时以转账形式递交。</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2.报名地点及联系人。</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代理机构：长沙市招投标有限公司</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地    址：长沙市芙蓉区马王堆中路248号二楼</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联 系 人：方女士、熊女士</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电    话：0731-82804737</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3.报名时需提交的材料。</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（1）报名意向书（详见附件1）；</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hint="default" w:ascii="Times New Roman" w:hAnsi="Times New Roman" w:eastAsia="仿宋_GB2312" w:cs="Times New Roman"/>
          <w:color w:val="auto"/>
          <w:highlight w:val="none"/>
          <w:lang w:eastAsia="zh-CN"/>
        </w:rPr>
      </w:pPr>
      <w:r>
        <w:rPr>
          <w:rFonts w:hint="default" w:ascii="Times New Roman" w:hAnsi="Times New Roman" w:cs="Times New Roman"/>
          <w:color w:val="auto"/>
          <w:highlight w:val="none"/>
        </w:rPr>
        <w:t>（</w:t>
      </w:r>
      <w:r>
        <w:rPr>
          <w:rFonts w:hint="default" w:ascii="Times New Roman" w:hAnsi="Times New Roman" w:cs="Times New Roman"/>
          <w:color w:val="auto"/>
          <w:highlight w:val="none"/>
          <w:lang w:val="en-US" w:eastAsia="zh-CN"/>
        </w:rPr>
        <w:t>2</w:t>
      </w:r>
      <w:r>
        <w:rPr>
          <w:rFonts w:hint="default" w:ascii="Times New Roman" w:hAnsi="Times New Roman" w:cs="Times New Roman"/>
          <w:color w:val="auto"/>
          <w:highlight w:val="none"/>
        </w:rPr>
        <w:t>）申请人的营业执照复印件、法定代表人或负责人以及被授权人的身份证明文件、授权委托书原件（详见附件</w:t>
      </w:r>
      <w:r>
        <w:rPr>
          <w:rFonts w:hint="default" w:ascii="Times New Roman" w:hAnsi="Times New Roman" w:cs="Times New Roman"/>
          <w:color w:val="auto"/>
          <w:highlight w:val="none"/>
          <w:lang w:val="en-US" w:eastAsia="zh-CN"/>
        </w:rPr>
        <w:t>2</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对于上述报名材料，申请人应逐项加盖公章和骑缝章。密封提交。附件的模板不接受修改。</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ascii="仿宋_GB2312" w:hAnsi="仿宋_GB2312" w:cs="仿宋_GB2312"/>
          <w:color w:val="auto"/>
          <w:highlight w:val="none"/>
        </w:rPr>
      </w:pPr>
      <w:r>
        <w:rPr>
          <w:rFonts w:hint="eastAsia" w:ascii="仿宋_GB2312" w:hAnsi="仿宋_GB2312" w:cs="仿宋_GB2312"/>
          <w:color w:val="auto"/>
          <w:highlight w:val="none"/>
        </w:rPr>
        <w:t>（二）资格审查</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hint="default" w:ascii="仿宋_GB2312" w:hAnsi="仿宋_GB2312" w:eastAsia="仿宋_GB2312" w:cs="仿宋_GB2312"/>
          <w:color w:val="auto"/>
          <w:highlight w:val="none"/>
          <w:lang w:val="en-US" w:eastAsia="zh-CN"/>
        </w:rPr>
      </w:pPr>
      <w:r>
        <w:rPr>
          <w:rFonts w:hint="eastAsia" w:ascii="仿宋_GB2312" w:hAnsi="仿宋_GB2312" w:cs="仿宋_GB2312"/>
          <w:color w:val="auto"/>
          <w:highlight w:val="none"/>
          <w:lang w:val="en-US" w:eastAsia="zh-CN"/>
        </w:rPr>
        <w:t>本次资格审查形式为资格后审。</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ascii="仿宋_GB2312" w:hAnsi="仿宋_GB2312" w:cs="仿宋_GB2312"/>
          <w:color w:val="auto"/>
          <w:highlight w:val="none"/>
        </w:rPr>
      </w:pPr>
      <w:r>
        <w:rPr>
          <w:rFonts w:hint="eastAsia" w:ascii="仿宋_GB2312" w:hAnsi="仿宋_GB2312" w:cs="仿宋_GB2312"/>
          <w:color w:val="auto"/>
          <w:highlight w:val="none"/>
        </w:rPr>
        <w:t>（三）提交合作申请文件</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ascii="仿宋_GB2312" w:hAnsi="仿宋_GB2312" w:cs="仿宋_GB2312"/>
          <w:color w:val="auto"/>
          <w:highlight w:val="none"/>
        </w:rPr>
      </w:pPr>
      <w:r>
        <w:rPr>
          <w:rFonts w:hint="eastAsia" w:ascii="仿宋_GB2312" w:hAnsi="仿宋_GB2312" w:cs="仿宋_GB2312"/>
          <w:color w:val="auto"/>
          <w:highlight w:val="none"/>
        </w:rPr>
        <w:t>申请人应于</w:t>
      </w:r>
      <w:r>
        <w:rPr>
          <w:rFonts w:hint="default" w:ascii="Times New Roman" w:hAnsi="Times New Roman" w:cs="Times New Roman"/>
          <w:color w:val="auto"/>
          <w:highlight w:val="none"/>
        </w:rPr>
        <w:t>2023年</w:t>
      </w:r>
      <w:r>
        <w:rPr>
          <w:rFonts w:hint="default" w:ascii="Times New Roman" w:hAnsi="Times New Roman" w:cs="Times New Roman"/>
          <w:color w:val="auto"/>
          <w:highlight w:val="none"/>
          <w:lang w:val="en-US" w:eastAsia="zh-CN"/>
        </w:rPr>
        <w:t>3</w:t>
      </w:r>
      <w:r>
        <w:rPr>
          <w:rFonts w:hint="default" w:ascii="Times New Roman" w:hAnsi="Times New Roman" w:cs="Times New Roman"/>
          <w:color w:val="auto"/>
          <w:highlight w:val="none"/>
        </w:rPr>
        <w:t>月</w:t>
      </w:r>
      <w:r>
        <w:rPr>
          <w:rFonts w:hint="default" w:ascii="Times New Roman" w:hAnsi="Times New Roman" w:cs="Times New Roman"/>
          <w:color w:val="auto"/>
          <w:highlight w:val="none"/>
          <w:lang w:val="en-US" w:eastAsia="zh-CN"/>
        </w:rPr>
        <w:t>30</w:t>
      </w:r>
      <w:r>
        <w:rPr>
          <w:rFonts w:hint="default" w:ascii="Times New Roman" w:hAnsi="Times New Roman" w:cs="Times New Roman"/>
          <w:color w:val="auto"/>
          <w:highlight w:val="none"/>
        </w:rPr>
        <w:t>日</w:t>
      </w:r>
      <w:r>
        <w:rPr>
          <w:rFonts w:hint="default" w:ascii="Times New Roman" w:hAnsi="Times New Roman" w:cs="Times New Roman"/>
          <w:color w:val="auto"/>
          <w:highlight w:val="none"/>
          <w:lang w:val="en-US" w:eastAsia="zh-CN"/>
        </w:rPr>
        <w:t>13</w:t>
      </w:r>
      <w:r>
        <w:rPr>
          <w:rFonts w:hint="default" w:ascii="Times New Roman" w:hAnsi="Times New Roman" w:cs="Times New Roman"/>
          <w:color w:val="auto"/>
          <w:highlight w:val="none"/>
        </w:rPr>
        <w:t>时</w:t>
      </w:r>
      <w:r>
        <w:rPr>
          <w:rFonts w:hint="default" w:ascii="Times New Roman" w:hAnsi="Times New Roman" w:cs="Times New Roman"/>
          <w:color w:val="auto"/>
          <w:highlight w:val="none"/>
          <w:lang w:val="en-US" w:eastAsia="zh-CN"/>
        </w:rPr>
        <w:t>30</w:t>
      </w:r>
      <w:r>
        <w:rPr>
          <w:rFonts w:hint="default" w:ascii="Times New Roman" w:hAnsi="Times New Roman" w:cs="Times New Roman"/>
          <w:color w:val="auto"/>
          <w:highlight w:val="none"/>
        </w:rPr>
        <w:t>分</w:t>
      </w:r>
      <w:r>
        <w:rPr>
          <w:rFonts w:hint="eastAsia" w:ascii="仿宋_GB2312" w:hAnsi="仿宋_GB2312" w:cs="仿宋_GB2312"/>
          <w:color w:val="auto"/>
          <w:highlight w:val="none"/>
        </w:rPr>
        <w:t>（北京时间）前缴纳信誉保证金（保证金金额：贰拾万元整）并将合作申请文件提交至公告载明地点，提交合作申请文件需同时出具保证金缴纳凭证，超过截止日期的合作申请文件将不予接受。</w:t>
      </w:r>
    </w:p>
    <w:p>
      <w:pPr>
        <w:keepNext w:val="0"/>
        <w:keepLines w:val="0"/>
        <w:pageBreakBefore w:val="0"/>
        <w:widowControl w:val="0"/>
        <w:numPr>
          <w:ilvl w:val="0"/>
          <w:numId w:val="2"/>
        </w:numPr>
        <w:kinsoku/>
        <w:wordWrap/>
        <w:overflowPunct/>
        <w:topLinePunct w:val="0"/>
        <w:autoSpaceDE/>
        <w:autoSpaceDN/>
        <w:bidi w:val="0"/>
        <w:adjustRightInd w:val="0"/>
        <w:snapToGrid w:val="0"/>
        <w:spacing w:line="600" w:lineRule="exact"/>
        <w:ind w:firstLine="640"/>
        <w:textAlignment w:val="auto"/>
        <w:rPr>
          <w:rFonts w:hint="eastAsia" w:ascii="仿宋_GB2312" w:hAnsi="仿宋_GB2312" w:cs="仿宋_GB2312"/>
          <w:color w:val="auto"/>
          <w:highlight w:val="none"/>
          <w:lang w:val="en-US" w:eastAsia="zh-CN"/>
        </w:rPr>
      </w:pPr>
      <w:r>
        <w:rPr>
          <w:rFonts w:hint="eastAsia" w:ascii="仿宋_GB2312" w:hAnsi="仿宋_GB2312" w:cs="仿宋_GB2312"/>
          <w:color w:val="auto"/>
          <w:highlight w:val="none"/>
          <w:lang w:val="en-US" w:eastAsia="zh-CN"/>
        </w:rPr>
        <w:t>答疑</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w:t>
      </w:r>
      <w:r>
        <w:rPr>
          <w:rFonts w:hint="eastAsia" w:ascii="Times New Roman" w:hAnsi="Times New Roman" w:cs="Times New Roman"/>
          <w:color w:val="auto"/>
          <w:highlight w:val="none"/>
          <w:lang w:val="en-US" w:eastAsia="zh-CN"/>
        </w:rPr>
        <w:t>.</w:t>
      </w:r>
      <w:r>
        <w:rPr>
          <w:rFonts w:hint="default" w:ascii="Times New Roman" w:hAnsi="Times New Roman" w:cs="Times New Roman"/>
          <w:color w:val="auto"/>
          <w:highlight w:val="none"/>
          <w:lang w:val="en-US" w:eastAsia="zh-CN"/>
        </w:rPr>
        <w:t>申请人对遴选文件如有疑问，可于2023年3月23日17:00时前以纸质版资料形式向</w:t>
      </w:r>
      <w:r>
        <w:rPr>
          <w:rFonts w:hint="default" w:ascii="Times New Roman" w:hAnsi="Times New Roman" w:cs="Times New Roman"/>
          <w:color w:val="auto"/>
          <w:highlight w:val="none"/>
        </w:rPr>
        <w:t>长沙市土地开发建设有限责任公司</w:t>
      </w:r>
      <w:r>
        <w:rPr>
          <w:rFonts w:hint="default" w:ascii="Times New Roman" w:hAnsi="Times New Roman" w:cs="Times New Roman"/>
          <w:color w:val="auto"/>
          <w:highlight w:val="none"/>
          <w:lang w:val="en-US" w:eastAsia="zh-CN"/>
        </w:rPr>
        <w:t>或代理机构提出；</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2</w:t>
      </w:r>
      <w:r>
        <w:rPr>
          <w:rFonts w:hint="eastAsia" w:ascii="Times New Roman" w:hAnsi="Times New Roman" w:cs="Times New Roman"/>
          <w:color w:val="auto"/>
          <w:highlight w:val="none"/>
          <w:lang w:val="en-US" w:eastAsia="zh-CN"/>
        </w:rPr>
        <w:t>.</w:t>
      </w:r>
      <w:r>
        <w:rPr>
          <w:rFonts w:hint="default" w:ascii="Times New Roman" w:hAnsi="Times New Roman" w:cs="Times New Roman"/>
          <w:color w:val="auto"/>
          <w:highlight w:val="none"/>
          <w:lang w:val="en-US" w:eastAsia="zh-CN"/>
        </w:rPr>
        <w:t>代理机构将答疑题汇总，于2023年3月24日17:00时前答复所有申请人。</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ascii="仿宋_GB2312" w:hAnsi="仿宋_GB2312" w:cs="仿宋_GB2312"/>
          <w:color w:val="auto"/>
          <w:highlight w:val="none"/>
        </w:rPr>
      </w:pPr>
      <w:r>
        <w:rPr>
          <w:rFonts w:hint="eastAsia" w:ascii="仿宋_GB2312" w:hAnsi="仿宋_GB2312" w:cs="仿宋_GB2312"/>
          <w:color w:val="auto"/>
          <w:highlight w:val="none"/>
        </w:rPr>
        <w:t>（</w:t>
      </w:r>
      <w:r>
        <w:rPr>
          <w:rFonts w:hint="eastAsia" w:ascii="仿宋_GB2312" w:hAnsi="仿宋_GB2312" w:cs="仿宋_GB2312"/>
          <w:color w:val="auto"/>
          <w:highlight w:val="none"/>
          <w:lang w:val="en-US" w:eastAsia="zh-CN"/>
        </w:rPr>
        <w:t>五</w:t>
      </w:r>
      <w:r>
        <w:rPr>
          <w:rFonts w:hint="eastAsia" w:ascii="仿宋_GB2312" w:hAnsi="仿宋_GB2312" w:cs="仿宋_GB2312"/>
          <w:color w:val="auto"/>
          <w:highlight w:val="none"/>
        </w:rPr>
        <w:t>）竞争遴选评审</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hint="default" w:ascii="Times New Roman" w:hAnsi="Times New Roman" w:cs="Times New Roman"/>
          <w:color w:val="auto"/>
          <w:highlight w:val="none"/>
        </w:rPr>
      </w:pPr>
      <w:r>
        <w:rPr>
          <w:rFonts w:hint="eastAsia" w:ascii="仿宋_GB2312" w:hAnsi="仿宋_GB2312" w:cs="仿宋_GB2312"/>
          <w:color w:val="auto"/>
          <w:highlight w:val="none"/>
        </w:rPr>
        <w:t>竞争遴选评审在代理公司进行，接受产投集团纪检监察室监督。评审委员会根据《遴选文件》开展遴选评审。评审最高得</w:t>
      </w:r>
      <w:r>
        <w:rPr>
          <w:rFonts w:hint="default" w:ascii="Times New Roman" w:hAnsi="Times New Roman" w:cs="Times New Roman"/>
          <w:color w:val="auto"/>
          <w:highlight w:val="none"/>
        </w:rPr>
        <w:t>分100分，超过70分视为合格申请人；</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ascii="仿宋_GB2312" w:hAnsi="仿宋_GB2312" w:cs="仿宋_GB2312"/>
          <w:color w:val="auto"/>
          <w:highlight w:val="none"/>
        </w:rPr>
      </w:pPr>
      <w:r>
        <w:rPr>
          <w:rFonts w:hint="default" w:ascii="Times New Roman" w:hAnsi="Times New Roman" w:cs="Times New Roman"/>
          <w:color w:val="auto"/>
          <w:highlight w:val="none"/>
        </w:rPr>
        <w:t>符合要求且得分在70分（含）以上的申请人，按得分高低排序（得分低于70分的不参加</w:t>
      </w:r>
      <w:r>
        <w:rPr>
          <w:rFonts w:hint="eastAsia" w:ascii="仿宋_GB2312" w:hAnsi="仿宋_GB2312" w:cs="仿宋_GB2312"/>
          <w:color w:val="auto"/>
          <w:highlight w:val="none"/>
        </w:rPr>
        <w:t>排序），得分最高的申请人将作为长沙市土地开发建设有限责任公司拟实施合作的第一顺序对象。</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ascii="仿宋_GB2312" w:hAnsi="仿宋_GB2312" w:cs="仿宋_GB2312"/>
          <w:color w:val="auto"/>
          <w:highlight w:val="none"/>
        </w:rPr>
      </w:pPr>
      <w:r>
        <w:rPr>
          <w:rFonts w:hint="eastAsia" w:ascii="仿宋_GB2312" w:hAnsi="仿宋_GB2312" w:cs="仿宋_GB2312"/>
          <w:color w:val="auto"/>
          <w:highlight w:val="none"/>
        </w:rPr>
        <w:t>（</w:t>
      </w:r>
      <w:r>
        <w:rPr>
          <w:rFonts w:hint="eastAsia" w:ascii="仿宋_GB2312" w:hAnsi="仿宋_GB2312" w:cs="仿宋_GB2312"/>
          <w:color w:val="auto"/>
          <w:highlight w:val="none"/>
          <w:lang w:val="en-US" w:eastAsia="zh-CN"/>
        </w:rPr>
        <w:t>六</w:t>
      </w:r>
      <w:r>
        <w:rPr>
          <w:rFonts w:hint="eastAsia" w:ascii="仿宋_GB2312" w:hAnsi="仿宋_GB2312" w:cs="仿宋_GB2312"/>
          <w:color w:val="auto"/>
          <w:highlight w:val="none"/>
        </w:rPr>
        <w:t>）商务谈判和协议签署</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ascii="仿宋_GB2312" w:hAnsi="仿宋_GB2312" w:cs="仿宋_GB2312"/>
          <w:color w:val="auto"/>
          <w:highlight w:val="none"/>
        </w:rPr>
      </w:pPr>
      <w:r>
        <w:rPr>
          <w:rFonts w:hint="eastAsia" w:ascii="仿宋_GB2312" w:hAnsi="仿宋_GB2312" w:cs="仿宋_GB2312"/>
          <w:color w:val="auto"/>
          <w:highlight w:val="none"/>
        </w:rPr>
        <w:t>长沙市土地开发建设有限责任公司与第一顺序申请人开展合作洽谈并达成合作意向，双方按程序签订正式《合作协议》，在《合作协议》签订前长沙市土地开发建设有限责任公司有权对拟合作单位开展包括但不限于尽调、审计、评估等工作；</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ascii="仿宋_GB2312" w:hAnsi="仿宋_GB2312" w:cs="仿宋_GB2312"/>
          <w:color w:val="auto"/>
          <w:highlight w:val="none"/>
        </w:rPr>
      </w:pPr>
      <w:r>
        <w:rPr>
          <w:rFonts w:hint="eastAsia" w:ascii="仿宋_GB2312" w:hAnsi="仿宋_GB2312" w:cs="仿宋_GB2312"/>
          <w:color w:val="auto"/>
          <w:highlight w:val="none"/>
        </w:rPr>
        <w:t>第一顺序的申请人未能与长沙市土地开发建设有限责任公司达成合作意向的，长沙市土地开发建设有限责任公司有权选择第二顺序的申请人进行合作，以此类推，确定最终的合作伙伴。</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ascii="黑体" w:hAnsi="黑体" w:eastAsia="黑体" w:cs="黑体"/>
          <w:color w:val="auto"/>
          <w:highlight w:val="none"/>
        </w:rPr>
      </w:pPr>
      <w:r>
        <w:rPr>
          <w:rFonts w:hint="eastAsia" w:ascii="黑体" w:hAnsi="黑体" w:eastAsia="黑体" w:cs="黑体"/>
          <w:color w:val="auto"/>
          <w:highlight w:val="none"/>
        </w:rPr>
        <w:t>五、保证金的处理</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color w:val="auto"/>
          <w:highlight w:val="none"/>
        </w:rPr>
      </w:pPr>
      <w:r>
        <w:rPr>
          <w:rFonts w:hint="eastAsia"/>
          <w:color w:val="auto"/>
          <w:highlight w:val="none"/>
        </w:rPr>
        <w:t>1.如申请人无正当理由主动放弃合作或在报名、遴选过程中存在弄虚作假等行为的，取消合作资格，保证金不予退还；</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color w:val="auto"/>
          <w:highlight w:val="none"/>
        </w:rPr>
      </w:pPr>
      <w:r>
        <w:rPr>
          <w:rFonts w:hint="eastAsia"/>
          <w:color w:val="auto"/>
          <w:highlight w:val="none"/>
        </w:rPr>
        <w:t>2.除不予退还情形外，长沙市土地开发建设有限责任公司将在签订《合作协议》后无息返还所有申请人已缴纳的保证金。</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ascii="黑体" w:hAnsi="黑体" w:eastAsia="黑体" w:cs="黑体"/>
          <w:color w:val="auto"/>
          <w:highlight w:val="none"/>
        </w:rPr>
      </w:pPr>
      <w:r>
        <w:rPr>
          <w:rFonts w:hint="eastAsia" w:ascii="黑体" w:hAnsi="黑体" w:eastAsia="黑体" w:cs="黑体"/>
          <w:color w:val="auto"/>
          <w:highlight w:val="none"/>
        </w:rPr>
        <w:t>六、其他</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color w:val="auto"/>
          <w:highlight w:val="none"/>
        </w:rPr>
      </w:pPr>
      <w:r>
        <w:rPr>
          <w:rFonts w:hint="eastAsia"/>
          <w:color w:val="auto"/>
          <w:highlight w:val="none"/>
        </w:rPr>
        <w:t>（一）本次合作单位公开招募严格按照长沙市产业投资集团有限公司相关规定执行。</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color w:val="auto"/>
          <w:highlight w:val="none"/>
        </w:rPr>
      </w:pPr>
      <w:r>
        <w:rPr>
          <w:rFonts w:hint="eastAsia"/>
          <w:color w:val="auto"/>
          <w:highlight w:val="none"/>
        </w:rPr>
        <w:t>（二）本公告最终解释权归长沙市土地开发建设有限责任公司。参与招募遴选的申请人一旦提交报名材料，则视为对本公告内容无异议。</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color w:val="auto"/>
          <w:highlight w:val="none"/>
        </w:rPr>
      </w:pPr>
      <w:r>
        <w:rPr>
          <w:rFonts w:hint="eastAsia"/>
          <w:color w:val="auto"/>
          <w:highlight w:val="none"/>
        </w:rPr>
        <w:t>（三）纪检监督</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color w:val="auto"/>
          <w:highlight w:val="none"/>
        </w:rPr>
      </w:pPr>
      <w:r>
        <w:rPr>
          <w:rFonts w:hint="eastAsia"/>
          <w:color w:val="auto"/>
          <w:highlight w:val="none"/>
        </w:rPr>
        <w:t>长沙市产业投资集团有限公司纪检监察室对此次招募遴选工作进行全过程监督。</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color w:val="auto"/>
          <w:highlight w:val="none"/>
        </w:rPr>
      </w:pPr>
      <w:r>
        <w:rPr>
          <w:rFonts w:hint="eastAsia"/>
          <w:color w:val="auto"/>
          <w:highlight w:val="none"/>
        </w:rPr>
        <w:t>监督电话0731-84529359，邮箱csctjw@163.com。</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color w:val="auto"/>
          <w:highlight w:val="none"/>
        </w:rPr>
      </w:pPr>
      <w:r>
        <w:rPr>
          <w:rFonts w:hint="eastAsia"/>
          <w:color w:val="auto"/>
          <w:highlight w:val="none"/>
        </w:rPr>
        <w:t>欢迎社会各界参与本次招募！</w:t>
      </w:r>
    </w:p>
    <w:p>
      <w:pPr>
        <w:keepNext w:val="0"/>
        <w:keepLines w:val="0"/>
        <w:pageBreakBefore w:val="0"/>
        <w:widowControl w:val="0"/>
        <w:kinsoku/>
        <w:wordWrap/>
        <w:overflowPunct/>
        <w:topLinePunct w:val="0"/>
        <w:autoSpaceDE/>
        <w:autoSpaceDN/>
        <w:bidi w:val="0"/>
        <w:adjustRightInd w:val="0"/>
        <w:snapToGrid w:val="0"/>
        <w:spacing w:line="600" w:lineRule="exact"/>
        <w:ind w:firstLine="0" w:firstLineChars="0"/>
        <w:textAlignment w:val="auto"/>
        <w:rPr>
          <w:color w:val="auto"/>
          <w:highlight w:val="none"/>
        </w:rPr>
      </w:pPr>
      <w:r>
        <w:rPr>
          <w:color w:val="auto"/>
          <w:highlight w:val="none"/>
        </w:rPr>
        <w:t>附件</w:t>
      </w:r>
      <w:r>
        <w:rPr>
          <w:rFonts w:hint="eastAsia"/>
          <w:color w:val="auto"/>
          <w:highlight w:val="none"/>
        </w:rPr>
        <w:t>：</w:t>
      </w:r>
      <w:r>
        <w:rPr>
          <w:color w:val="auto"/>
          <w:highlight w:val="none"/>
        </w:rPr>
        <w:t>1</w:t>
      </w:r>
      <w:r>
        <w:rPr>
          <w:rFonts w:hint="eastAsia"/>
          <w:color w:val="auto"/>
          <w:highlight w:val="none"/>
        </w:rPr>
        <w:t>.《</w:t>
      </w:r>
      <w:r>
        <w:rPr>
          <w:color w:val="auto"/>
          <w:highlight w:val="none"/>
        </w:rPr>
        <w:t>报名意向书</w:t>
      </w:r>
      <w:r>
        <w:rPr>
          <w:rFonts w:hint="eastAsia"/>
          <w:color w:val="auto"/>
          <w:highlight w:val="none"/>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960" w:firstLineChars="300"/>
        <w:textAlignment w:val="auto"/>
        <w:rPr>
          <w:rFonts w:hint="eastAsia"/>
          <w:color w:val="auto"/>
          <w:highlight w:val="none"/>
        </w:rPr>
      </w:pPr>
      <w:r>
        <w:rPr>
          <w:rFonts w:hint="eastAsia"/>
          <w:color w:val="auto"/>
          <w:highlight w:val="none"/>
          <w:lang w:val="en-US" w:eastAsia="zh-CN"/>
        </w:rPr>
        <w:t>2.</w:t>
      </w:r>
      <w:r>
        <w:rPr>
          <w:rFonts w:hint="eastAsia"/>
          <w:color w:val="auto"/>
          <w:highlight w:val="none"/>
        </w:rPr>
        <w:t>《</w:t>
      </w:r>
      <w:r>
        <w:rPr>
          <w:color w:val="auto"/>
          <w:highlight w:val="none"/>
        </w:rPr>
        <w:t>授权委托书</w:t>
      </w:r>
      <w:r>
        <w:rPr>
          <w:rFonts w:hint="eastAsia"/>
          <w:color w:val="auto"/>
          <w:highlight w:val="none"/>
        </w:rPr>
        <w:t>》</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960" w:firstLineChars="300"/>
        <w:textAlignment w:val="auto"/>
        <w:rPr>
          <w:rFonts w:hint="eastAsia"/>
          <w:lang w:eastAsia="zh-CN"/>
        </w:rPr>
      </w:pPr>
      <w:r>
        <w:rPr>
          <w:rFonts w:hint="eastAsia"/>
          <w:lang w:val="en-US" w:eastAsia="zh-CN"/>
        </w:rPr>
        <w:t>3.</w:t>
      </w:r>
      <w:r>
        <w:rPr>
          <w:rFonts w:hint="eastAsia"/>
          <w:lang w:eastAsia="zh-CN"/>
        </w:rPr>
        <w:t>《</w:t>
      </w:r>
      <w:r>
        <w:rPr>
          <w:rFonts w:hint="eastAsia" w:cs="Times New Roman"/>
          <w:color w:val="auto"/>
          <w:kern w:val="2"/>
          <w:sz w:val="32"/>
          <w:szCs w:val="22"/>
          <w:highlight w:val="none"/>
          <w:lang w:val="en-US" w:eastAsia="zh-CN" w:bidi="ar-SA"/>
        </w:rPr>
        <w:t>长沙市产业投资集团有限公司下属长沙市土地开发建设有限责任公司公开招募长投新成公寓运营合作单位</w:t>
      </w:r>
      <w:r>
        <w:rPr>
          <w:rFonts w:hint="eastAsia" w:ascii="Times New Roman" w:hAnsi="Times New Roman" w:eastAsia="仿宋_GB2312" w:cs="Times New Roman"/>
          <w:color w:val="auto"/>
          <w:kern w:val="2"/>
          <w:sz w:val="32"/>
          <w:szCs w:val="22"/>
          <w:highlight w:val="none"/>
          <w:lang w:val="en-US" w:eastAsia="zh-CN" w:bidi="ar-SA"/>
        </w:rPr>
        <w:t>遴选文件</w:t>
      </w:r>
      <w:r>
        <w:rPr>
          <w:rFonts w:hint="eastAsia"/>
          <w:lang w:eastAsia="zh-CN"/>
        </w:rPr>
        <w:t>》</w:t>
      </w:r>
    </w:p>
    <w:p>
      <w:pPr>
        <w:pStyle w:val="3"/>
        <w:rPr>
          <w:rFonts w:hint="eastAsia"/>
          <w:lang w:eastAsia="zh-CN"/>
        </w:rPr>
      </w:pPr>
    </w:p>
    <w:p/>
    <w:p>
      <w:pPr>
        <w:wordWrap w:val="0"/>
        <w:ind w:firstLine="640"/>
        <w:jc w:val="right"/>
        <w:rPr>
          <w:color w:val="auto"/>
          <w:highlight w:val="none"/>
        </w:rPr>
      </w:pPr>
      <w:r>
        <w:rPr>
          <w:rFonts w:hint="eastAsia"/>
          <w:color w:val="auto"/>
          <w:highlight w:val="none"/>
          <w:lang w:val="en-US" w:eastAsia="zh-CN"/>
        </w:rPr>
        <w:t xml:space="preserve">  </w:t>
      </w:r>
      <w:r>
        <w:rPr>
          <w:rFonts w:hint="eastAsia"/>
          <w:color w:val="auto"/>
          <w:highlight w:val="none"/>
        </w:rPr>
        <w:t xml:space="preserve">长沙市土地开发建设有限责任公司  </w:t>
      </w:r>
    </w:p>
    <w:p>
      <w:pPr>
        <w:wordWrap w:val="0"/>
        <w:ind w:left="0" w:leftChars="0" w:firstLine="0" w:firstLineChars="0"/>
        <w:jc w:val="right"/>
        <w:rPr>
          <w:color w:val="auto"/>
          <w:highlight w:val="none"/>
        </w:rPr>
      </w:pPr>
      <w:r>
        <w:rPr>
          <w:rFonts w:hint="eastAsia"/>
          <w:color w:val="auto"/>
          <w:highlight w:val="none"/>
        </w:rPr>
        <w:t>2023年</w:t>
      </w:r>
      <w:r>
        <w:rPr>
          <w:rFonts w:hint="eastAsia"/>
          <w:color w:val="auto"/>
          <w:highlight w:val="none"/>
          <w:lang w:val="en-US" w:eastAsia="zh-CN"/>
        </w:rPr>
        <w:t>3</w:t>
      </w:r>
      <w:r>
        <w:rPr>
          <w:rFonts w:hint="eastAsia"/>
          <w:color w:val="auto"/>
          <w:highlight w:val="none"/>
        </w:rPr>
        <w:t>月</w:t>
      </w:r>
      <w:r>
        <w:rPr>
          <w:rFonts w:hint="eastAsia"/>
          <w:color w:val="auto"/>
          <w:highlight w:val="none"/>
          <w:lang w:val="en-US" w:eastAsia="zh-CN"/>
        </w:rPr>
        <w:t>20</w:t>
      </w:r>
      <w:r>
        <w:rPr>
          <w:rFonts w:hint="eastAsia"/>
          <w:color w:val="auto"/>
          <w:highlight w:val="none"/>
        </w:rPr>
        <w:t xml:space="preserve">日      </w:t>
      </w:r>
    </w:p>
    <w:p>
      <w:pPr>
        <w:ind w:firstLine="640"/>
        <w:rPr>
          <w:color w:val="auto"/>
          <w:highlight w:val="none"/>
        </w:rPr>
      </w:pPr>
      <w:r>
        <w:rPr>
          <w:rFonts w:hint="eastAsia"/>
          <w:color w:val="auto"/>
          <w:highlight w:val="none"/>
        </w:rPr>
        <w:br w:type="page"/>
      </w:r>
    </w:p>
    <w:p>
      <w:pPr>
        <w:ind w:firstLine="0" w:firstLineChars="0"/>
        <w:rPr>
          <w:color w:val="auto"/>
          <w:highlight w:val="none"/>
        </w:rPr>
      </w:pPr>
      <w:r>
        <w:rPr>
          <w:rFonts w:hint="eastAsia"/>
          <w:color w:val="auto"/>
          <w:highlight w:val="none"/>
        </w:rPr>
        <w:t>招募公告</w:t>
      </w:r>
      <w:r>
        <w:rPr>
          <w:color w:val="auto"/>
          <w:highlight w:val="none"/>
        </w:rPr>
        <w:t>附件1</w:t>
      </w:r>
      <w:r>
        <w:rPr>
          <w:rFonts w:hint="eastAsia"/>
          <w:color w:val="auto"/>
          <w:highlight w:val="none"/>
        </w:rPr>
        <w:t>：</w:t>
      </w:r>
    </w:p>
    <w:p>
      <w:pPr>
        <w:ind w:firstLine="0" w:firstLineChars="0"/>
        <w:jc w:val="center"/>
        <w:outlineLvl w:val="0"/>
        <w:rPr>
          <w:rFonts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t>申请人报名意向书</w:t>
      </w:r>
    </w:p>
    <w:tbl>
      <w:tblPr>
        <w:tblStyle w:val="15"/>
        <w:tblW w:w="5379"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164"/>
        <w:gridCol w:w="2930"/>
        <w:gridCol w:w="28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921" w:hRule="atLeast"/>
          <w:jc w:val="center"/>
        </w:trPr>
        <w:tc>
          <w:tcPr>
            <w:tcW w:w="1769" w:type="pct"/>
            <w:vAlign w:val="center"/>
          </w:tcPr>
          <w:p>
            <w:pPr>
              <w:pStyle w:val="20"/>
              <w:rPr>
                <w:color w:val="auto"/>
                <w:highlight w:val="none"/>
              </w:rPr>
            </w:pPr>
            <w:r>
              <w:rPr>
                <w:rFonts w:hint="eastAsia"/>
                <w:color w:val="auto"/>
                <w:highlight w:val="none"/>
              </w:rPr>
              <w:t>申请人</w:t>
            </w:r>
            <w:r>
              <w:rPr>
                <w:color w:val="auto"/>
                <w:highlight w:val="none"/>
              </w:rPr>
              <w:t>名称</w:t>
            </w:r>
          </w:p>
        </w:tc>
        <w:tc>
          <w:tcPr>
            <w:tcW w:w="3230" w:type="pct"/>
            <w:gridSpan w:val="2"/>
            <w:vAlign w:val="center"/>
          </w:tcPr>
          <w:p>
            <w:pPr>
              <w:pStyle w:val="20"/>
              <w:rPr>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9" w:hRule="atLeast"/>
          <w:jc w:val="center"/>
        </w:trPr>
        <w:tc>
          <w:tcPr>
            <w:tcW w:w="1769" w:type="pct"/>
            <w:vAlign w:val="center"/>
          </w:tcPr>
          <w:p>
            <w:pPr>
              <w:pStyle w:val="20"/>
              <w:rPr>
                <w:color w:val="auto"/>
                <w:highlight w:val="none"/>
              </w:rPr>
            </w:pPr>
            <w:r>
              <w:rPr>
                <w:rFonts w:hint="eastAsia"/>
                <w:color w:val="auto"/>
                <w:highlight w:val="none"/>
              </w:rPr>
              <w:t>申请</w:t>
            </w:r>
            <w:r>
              <w:rPr>
                <w:color w:val="auto"/>
                <w:highlight w:val="none"/>
              </w:rPr>
              <w:t>人简介</w:t>
            </w:r>
            <w:r>
              <w:rPr>
                <w:rFonts w:hint="eastAsia"/>
                <w:color w:val="auto"/>
                <w:highlight w:val="none"/>
              </w:rPr>
              <w:t>：</w:t>
            </w:r>
          </w:p>
          <w:p>
            <w:pPr>
              <w:pStyle w:val="20"/>
              <w:rPr>
                <w:color w:val="auto"/>
                <w:highlight w:val="none"/>
              </w:rPr>
            </w:pPr>
            <w:r>
              <w:rPr>
                <w:color w:val="auto"/>
                <w:highlight w:val="none"/>
              </w:rPr>
              <w:t>（包括基本情况、主营业务及最近</w:t>
            </w:r>
            <w:r>
              <w:rPr>
                <w:rFonts w:hint="eastAsia"/>
                <w:color w:val="auto"/>
                <w:highlight w:val="none"/>
              </w:rPr>
              <w:t>三</w:t>
            </w:r>
            <w:r>
              <w:rPr>
                <w:color w:val="auto"/>
                <w:highlight w:val="none"/>
              </w:rPr>
              <w:t>年经审计的总资产和净资产规模）</w:t>
            </w:r>
          </w:p>
        </w:tc>
        <w:tc>
          <w:tcPr>
            <w:tcW w:w="3230" w:type="pct"/>
            <w:gridSpan w:val="2"/>
            <w:vAlign w:val="center"/>
          </w:tcPr>
          <w:p>
            <w:pPr>
              <w:pStyle w:val="20"/>
              <w:rPr>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4" w:hRule="atLeast"/>
          <w:jc w:val="center"/>
        </w:trPr>
        <w:tc>
          <w:tcPr>
            <w:tcW w:w="1769" w:type="pct"/>
            <w:vMerge w:val="restart"/>
            <w:vAlign w:val="center"/>
          </w:tcPr>
          <w:p>
            <w:pPr>
              <w:pStyle w:val="20"/>
              <w:rPr>
                <w:color w:val="auto"/>
                <w:highlight w:val="none"/>
              </w:rPr>
            </w:pPr>
            <w:r>
              <w:rPr>
                <w:rFonts w:hint="eastAsia"/>
                <w:color w:val="auto"/>
                <w:highlight w:val="none"/>
              </w:rPr>
              <w:t>申请人</w:t>
            </w:r>
            <w:r>
              <w:rPr>
                <w:color w:val="auto"/>
                <w:highlight w:val="none"/>
              </w:rPr>
              <w:t>通讯方式</w:t>
            </w:r>
            <w:r>
              <w:rPr>
                <w:rFonts w:hint="eastAsia"/>
                <w:color w:val="auto"/>
                <w:highlight w:val="none"/>
              </w:rPr>
              <w:t>：</w:t>
            </w:r>
          </w:p>
          <w:p>
            <w:pPr>
              <w:pStyle w:val="20"/>
              <w:rPr>
                <w:color w:val="auto"/>
                <w:highlight w:val="none"/>
              </w:rPr>
            </w:pPr>
            <w:r>
              <w:rPr>
                <w:color w:val="auto"/>
                <w:highlight w:val="none"/>
              </w:rPr>
              <w:t>（联系人应为有权代表</w:t>
            </w:r>
            <w:r>
              <w:rPr>
                <w:rFonts w:hint="eastAsia"/>
                <w:color w:val="auto"/>
                <w:highlight w:val="none"/>
              </w:rPr>
              <w:t>申请</w:t>
            </w:r>
            <w:r>
              <w:rPr>
                <w:color w:val="auto"/>
                <w:highlight w:val="none"/>
              </w:rPr>
              <w:t>人的授权人员）</w:t>
            </w:r>
          </w:p>
        </w:tc>
        <w:tc>
          <w:tcPr>
            <w:tcW w:w="1638" w:type="pct"/>
            <w:vAlign w:val="center"/>
          </w:tcPr>
          <w:p>
            <w:pPr>
              <w:pStyle w:val="20"/>
              <w:rPr>
                <w:color w:val="auto"/>
                <w:highlight w:val="none"/>
              </w:rPr>
            </w:pPr>
            <w:r>
              <w:rPr>
                <w:color w:val="auto"/>
                <w:highlight w:val="none"/>
              </w:rPr>
              <w:t>联系人：</w:t>
            </w:r>
          </w:p>
        </w:tc>
        <w:tc>
          <w:tcPr>
            <w:tcW w:w="1592" w:type="pct"/>
            <w:vAlign w:val="center"/>
          </w:tcPr>
          <w:p>
            <w:pPr>
              <w:pStyle w:val="20"/>
              <w:rPr>
                <w:color w:val="auto"/>
                <w:highlight w:val="none"/>
              </w:rPr>
            </w:pPr>
            <w:r>
              <w:rPr>
                <w:color w:val="auto"/>
                <w:highlight w:val="none"/>
              </w:rPr>
              <w:t>联系电话：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4" w:hRule="atLeast"/>
          <w:jc w:val="center"/>
        </w:trPr>
        <w:tc>
          <w:tcPr>
            <w:tcW w:w="1769" w:type="pct"/>
            <w:vMerge w:val="continue"/>
            <w:vAlign w:val="center"/>
          </w:tcPr>
          <w:p>
            <w:pPr>
              <w:pStyle w:val="20"/>
              <w:rPr>
                <w:color w:val="auto"/>
                <w:highlight w:val="none"/>
              </w:rPr>
            </w:pPr>
          </w:p>
        </w:tc>
        <w:tc>
          <w:tcPr>
            <w:tcW w:w="3230" w:type="pct"/>
            <w:gridSpan w:val="2"/>
            <w:vAlign w:val="center"/>
          </w:tcPr>
          <w:p>
            <w:pPr>
              <w:pStyle w:val="20"/>
              <w:rPr>
                <w:color w:val="auto"/>
                <w:highlight w:val="none"/>
              </w:rPr>
            </w:pPr>
            <w:r>
              <w:rPr>
                <w:color w:val="auto"/>
                <w:highlight w:val="none"/>
              </w:rPr>
              <w:t>电子邮箱：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jc w:val="center"/>
        </w:trPr>
        <w:tc>
          <w:tcPr>
            <w:tcW w:w="1769" w:type="pct"/>
            <w:vMerge w:val="continue"/>
            <w:vAlign w:val="center"/>
          </w:tcPr>
          <w:p>
            <w:pPr>
              <w:pStyle w:val="20"/>
              <w:rPr>
                <w:color w:val="auto"/>
                <w:highlight w:val="none"/>
              </w:rPr>
            </w:pPr>
          </w:p>
        </w:tc>
        <w:tc>
          <w:tcPr>
            <w:tcW w:w="3230" w:type="pct"/>
            <w:gridSpan w:val="2"/>
            <w:vAlign w:val="center"/>
          </w:tcPr>
          <w:p>
            <w:pPr>
              <w:pStyle w:val="20"/>
              <w:rPr>
                <w:color w:val="auto"/>
                <w:highlight w:val="none"/>
              </w:rPr>
            </w:pPr>
            <w:r>
              <w:rPr>
                <w:color w:val="auto"/>
                <w:highlight w:val="none"/>
              </w:rPr>
              <w:t>地址：</w:t>
            </w:r>
          </w:p>
        </w:tc>
      </w:tr>
    </w:tbl>
    <w:p>
      <w:pPr>
        <w:ind w:firstLine="640"/>
        <w:rPr>
          <w:color w:val="auto"/>
          <w:highlight w:val="none"/>
        </w:rPr>
      </w:pPr>
      <w:r>
        <w:rPr>
          <w:color w:val="auto"/>
          <w:highlight w:val="none"/>
        </w:rPr>
        <w:t>我单位郑重承诺，我单位已充分了解并认可本次</w:t>
      </w:r>
      <w:r>
        <w:rPr>
          <w:rFonts w:hint="eastAsia"/>
          <w:color w:val="auto"/>
          <w:highlight w:val="none"/>
        </w:rPr>
        <w:t>合作单位</w:t>
      </w:r>
      <w:r>
        <w:rPr>
          <w:color w:val="auto"/>
          <w:highlight w:val="none"/>
        </w:rPr>
        <w:t>招募</w:t>
      </w:r>
      <w:r>
        <w:rPr>
          <w:rFonts w:hint="eastAsia"/>
          <w:color w:val="auto"/>
          <w:highlight w:val="none"/>
        </w:rPr>
        <w:t>遴选</w:t>
      </w:r>
      <w:r>
        <w:rPr>
          <w:color w:val="auto"/>
          <w:highlight w:val="none"/>
        </w:rPr>
        <w:t>的全部要求，已充分评估、知悉并自愿承担参与本次</w:t>
      </w:r>
      <w:r>
        <w:rPr>
          <w:rFonts w:hint="eastAsia"/>
          <w:color w:val="auto"/>
          <w:highlight w:val="none"/>
        </w:rPr>
        <w:t>合作单位</w:t>
      </w:r>
      <w:r>
        <w:rPr>
          <w:color w:val="auto"/>
          <w:highlight w:val="none"/>
        </w:rPr>
        <w:t>招募</w:t>
      </w:r>
      <w:r>
        <w:rPr>
          <w:rFonts w:hint="eastAsia"/>
          <w:color w:val="auto"/>
          <w:highlight w:val="none"/>
        </w:rPr>
        <w:t>遴选</w:t>
      </w:r>
      <w:r>
        <w:rPr>
          <w:color w:val="auto"/>
          <w:highlight w:val="none"/>
        </w:rPr>
        <w:t>的全部成本、风险、负担</w:t>
      </w:r>
      <w:r>
        <w:rPr>
          <w:rFonts w:hint="eastAsia"/>
          <w:color w:val="auto"/>
          <w:highlight w:val="none"/>
        </w:rPr>
        <w:t>。</w:t>
      </w:r>
    </w:p>
    <w:p>
      <w:pPr>
        <w:ind w:firstLine="640"/>
        <w:rPr>
          <w:color w:val="auto"/>
          <w:highlight w:val="none"/>
        </w:rPr>
      </w:pPr>
    </w:p>
    <w:p>
      <w:pPr>
        <w:ind w:firstLine="640"/>
        <w:rPr>
          <w:color w:val="auto"/>
          <w:highlight w:val="none"/>
        </w:rPr>
      </w:pPr>
      <w:r>
        <w:rPr>
          <w:rFonts w:hint="eastAsia"/>
          <w:color w:val="auto"/>
          <w:highlight w:val="none"/>
        </w:rPr>
        <w:t>申请</w:t>
      </w:r>
      <w:r>
        <w:rPr>
          <w:color w:val="auto"/>
          <w:highlight w:val="none"/>
        </w:rPr>
        <w:t>人（公章）：</w:t>
      </w:r>
    </w:p>
    <w:p>
      <w:pPr>
        <w:ind w:firstLine="640"/>
        <w:rPr>
          <w:color w:val="auto"/>
          <w:highlight w:val="none"/>
        </w:rPr>
      </w:pPr>
      <w:r>
        <w:rPr>
          <w:color w:val="auto"/>
          <w:highlight w:val="none"/>
        </w:rPr>
        <w:t>法定代表人或授权代表（签字或盖章）：</w:t>
      </w:r>
    </w:p>
    <w:p>
      <w:pPr>
        <w:ind w:firstLine="640"/>
        <w:rPr>
          <w:color w:val="auto"/>
          <w:highlight w:val="none"/>
        </w:rPr>
      </w:pPr>
      <w:r>
        <w:rPr>
          <w:color w:val="auto"/>
          <w:highlight w:val="none"/>
        </w:rPr>
        <w:t>二〇二</w:t>
      </w:r>
      <w:r>
        <w:rPr>
          <w:rFonts w:hint="eastAsia"/>
          <w:color w:val="auto"/>
          <w:highlight w:val="none"/>
        </w:rPr>
        <w:t>三</w:t>
      </w:r>
      <w:r>
        <w:rPr>
          <w:color w:val="auto"/>
          <w:highlight w:val="none"/>
        </w:rPr>
        <w:t>年    月   日</w:t>
      </w:r>
    </w:p>
    <w:p>
      <w:pPr>
        <w:ind w:firstLine="640"/>
        <w:rPr>
          <w:color w:val="auto"/>
          <w:highlight w:val="none"/>
        </w:rPr>
      </w:pPr>
      <w:r>
        <w:rPr>
          <w:color w:val="auto"/>
          <w:highlight w:val="none"/>
        </w:rPr>
        <w:br w:type="page"/>
      </w:r>
    </w:p>
    <w:p>
      <w:pPr>
        <w:ind w:firstLine="0" w:firstLineChars="0"/>
        <w:outlineLvl w:val="0"/>
        <w:rPr>
          <w:color w:val="auto"/>
          <w:highlight w:val="none"/>
        </w:rPr>
      </w:pPr>
      <w:r>
        <w:rPr>
          <w:rFonts w:hint="eastAsia"/>
          <w:color w:val="auto"/>
          <w:highlight w:val="none"/>
        </w:rPr>
        <w:t>招募公告</w:t>
      </w:r>
      <w:r>
        <w:rPr>
          <w:color w:val="auto"/>
          <w:highlight w:val="none"/>
        </w:rPr>
        <w:t>附件</w:t>
      </w:r>
      <w:r>
        <w:rPr>
          <w:rFonts w:hint="eastAsia"/>
          <w:color w:val="auto"/>
          <w:highlight w:val="none"/>
          <w:lang w:val="en-US" w:eastAsia="zh-CN"/>
        </w:rPr>
        <w:t>2</w:t>
      </w:r>
      <w:r>
        <w:rPr>
          <w:rFonts w:hint="eastAsia"/>
          <w:color w:val="auto"/>
          <w:highlight w:val="none"/>
        </w:rPr>
        <w:t>：</w:t>
      </w:r>
    </w:p>
    <w:p>
      <w:pPr>
        <w:ind w:firstLine="0" w:firstLineChars="0"/>
        <w:jc w:val="center"/>
        <w:outlineLvl w:val="0"/>
        <w:rPr>
          <w:rFonts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t>授权委托书</w:t>
      </w:r>
    </w:p>
    <w:p>
      <w:pPr>
        <w:ind w:firstLine="0" w:firstLineChars="0"/>
        <w:rPr>
          <w:color w:val="auto"/>
          <w:highlight w:val="none"/>
        </w:rPr>
      </w:pPr>
      <w:r>
        <w:rPr>
          <w:rFonts w:hint="eastAsia"/>
          <w:color w:val="auto"/>
          <w:highlight w:val="none"/>
        </w:rPr>
        <w:t>委托人：</w:t>
      </w:r>
    </w:p>
    <w:p>
      <w:pPr>
        <w:ind w:firstLine="0" w:firstLineChars="0"/>
        <w:rPr>
          <w:color w:val="auto"/>
          <w:highlight w:val="none"/>
        </w:rPr>
      </w:pPr>
      <w:r>
        <w:rPr>
          <w:rFonts w:hint="eastAsia"/>
          <w:color w:val="auto"/>
          <w:highlight w:val="none"/>
        </w:rPr>
        <w:t>住所地：</w:t>
      </w:r>
    </w:p>
    <w:p>
      <w:pPr>
        <w:ind w:firstLine="0" w:firstLineChars="0"/>
        <w:rPr>
          <w:color w:val="auto"/>
          <w:highlight w:val="none"/>
        </w:rPr>
      </w:pPr>
      <w:r>
        <w:rPr>
          <w:rFonts w:hint="eastAsia"/>
          <w:color w:val="auto"/>
          <w:highlight w:val="none"/>
        </w:rPr>
        <w:t>联系方式：</w:t>
      </w:r>
    </w:p>
    <w:p>
      <w:pPr>
        <w:ind w:firstLine="0" w:firstLineChars="0"/>
        <w:rPr>
          <w:color w:val="auto"/>
          <w:highlight w:val="none"/>
        </w:rPr>
      </w:pPr>
      <w:r>
        <w:rPr>
          <w:rFonts w:hint="eastAsia"/>
          <w:color w:val="auto"/>
          <w:highlight w:val="none"/>
        </w:rPr>
        <w:t>受托人：</w:t>
      </w:r>
    </w:p>
    <w:p>
      <w:pPr>
        <w:ind w:firstLine="0" w:firstLineChars="0"/>
        <w:rPr>
          <w:color w:val="auto"/>
          <w:highlight w:val="none"/>
        </w:rPr>
      </w:pPr>
      <w:r>
        <w:rPr>
          <w:rFonts w:hint="eastAsia"/>
          <w:color w:val="auto"/>
          <w:highlight w:val="none"/>
        </w:rPr>
        <w:t>身份证号：</w:t>
      </w:r>
    </w:p>
    <w:p>
      <w:pPr>
        <w:ind w:firstLine="0" w:firstLineChars="0"/>
        <w:rPr>
          <w:color w:val="auto"/>
          <w:highlight w:val="none"/>
        </w:rPr>
      </w:pPr>
      <w:r>
        <w:rPr>
          <w:rFonts w:hint="eastAsia"/>
          <w:color w:val="auto"/>
          <w:highlight w:val="none"/>
        </w:rPr>
        <w:t>联系方式：</w:t>
      </w:r>
    </w:p>
    <w:p>
      <w:pPr>
        <w:ind w:firstLine="640"/>
        <w:rPr>
          <w:color w:val="auto"/>
          <w:highlight w:val="none"/>
        </w:rPr>
      </w:pPr>
      <w:r>
        <w:rPr>
          <w:rFonts w:hint="eastAsia"/>
          <w:color w:val="auto"/>
          <w:highlight w:val="none"/>
        </w:rPr>
        <w:t>委托人就</w:t>
      </w:r>
      <w:r>
        <w:rPr>
          <w:rFonts w:hint="eastAsia"/>
          <w:color w:val="auto"/>
          <w:highlight w:val="none"/>
          <w:lang w:eastAsia="zh-CN"/>
        </w:rPr>
        <w:t>长沙市产业投资集团有限公司下属长沙市土地开发建设有限责任公司公开招募长投新成公寓运营合作单位</w:t>
      </w:r>
      <w:r>
        <w:rPr>
          <w:rFonts w:hint="eastAsia"/>
          <w:color w:val="auto"/>
          <w:highlight w:val="none"/>
        </w:rPr>
        <w:t>遴选事项，特委托上述受托人作为委托人的代理人，受托人的代理权限为：</w:t>
      </w:r>
    </w:p>
    <w:p>
      <w:pPr>
        <w:ind w:firstLine="640"/>
        <w:rPr>
          <w:color w:val="auto"/>
          <w:highlight w:val="none"/>
        </w:rPr>
      </w:pPr>
      <w:r>
        <w:rPr>
          <w:rFonts w:hint="eastAsia"/>
          <w:color w:val="auto"/>
          <w:highlight w:val="none"/>
        </w:rPr>
        <w:t>1、提交报名材料，参加项目的遴选、谈判，代表委托人签署与本项目相关的任何文件（包括不限于协议、合同等）；</w:t>
      </w:r>
    </w:p>
    <w:p>
      <w:pPr>
        <w:ind w:firstLine="640"/>
        <w:rPr>
          <w:color w:val="auto"/>
          <w:highlight w:val="none"/>
        </w:rPr>
      </w:pPr>
      <w:r>
        <w:rPr>
          <w:rFonts w:hint="eastAsia"/>
          <w:color w:val="auto"/>
          <w:highlight w:val="none"/>
        </w:rPr>
        <w:t>2、接收与本项目的公告、通知等相关材料；</w:t>
      </w:r>
    </w:p>
    <w:p>
      <w:pPr>
        <w:ind w:firstLine="640"/>
        <w:rPr>
          <w:color w:val="auto"/>
          <w:highlight w:val="none"/>
        </w:rPr>
      </w:pPr>
      <w:r>
        <w:rPr>
          <w:rFonts w:hint="eastAsia"/>
          <w:color w:val="auto"/>
          <w:highlight w:val="none"/>
        </w:rPr>
        <w:t>3、处理与本投资项目相关的其他事务。</w:t>
      </w:r>
    </w:p>
    <w:p>
      <w:pPr>
        <w:ind w:firstLine="640"/>
        <w:rPr>
          <w:color w:val="auto"/>
          <w:highlight w:val="none"/>
        </w:rPr>
      </w:pPr>
      <w:r>
        <w:rPr>
          <w:rFonts w:hint="eastAsia"/>
          <w:color w:val="auto"/>
          <w:highlight w:val="none"/>
        </w:rPr>
        <w:t>受托人在上述代理权限范围内签署的一切文件或表达的相关意见，委托人均予以确认，并愿意承担由此产生的一切法律后果。</w:t>
      </w:r>
    </w:p>
    <w:p>
      <w:pPr>
        <w:ind w:firstLine="640"/>
        <w:rPr>
          <w:color w:val="auto"/>
          <w:highlight w:val="none"/>
        </w:rPr>
      </w:pPr>
      <w:r>
        <w:rPr>
          <w:rFonts w:hint="eastAsia"/>
          <w:color w:val="auto"/>
          <w:highlight w:val="none"/>
        </w:rPr>
        <w:t>附受托人身份证复印件（加盖委托人印章）</w:t>
      </w:r>
    </w:p>
    <w:p>
      <w:pPr>
        <w:ind w:firstLine="640"/>
        <w:rPr>
          <w:color w:val="auto"/>
          <w:highlight w:val="none"/>
        </w:rPr>
      </w:pPr>
    </w:p>
    <w:p>
      <w:pPr>
        <w:wordWrap w:val="0"/>
        <w:ind w:firstLine="640"/>
        <w:jc w:val="right"/>
        <w:rPr>
          <w:color w:val="auto"/>
          <w:highlight w:val="none"/>
        </w:rPr>
      </w:pPr>
      <w:r>
        <w:rPr>
          <w:rFonts w:hint="eastAsia"/>
          <w:color w:val="auto"/>
          <w:highlight w:val="none"/>
        </w:rPr>
        <w:t>委托人：       （公章）</w:t>
      </w:r>
    </w:p>
    <w:p>
      <w:pPr>
        <w:wordWrap w:val="0"/>
        <w:ind w:firstLine="640"/>
        <w:jc w:val="right"/>
        <w:rPr>
          <w:color w:val="auto"/>
          <w:highlight w:val="none"/>
        </w:rPr>
      </w:pPr>
      <w:r>
        <w:rPr>
          <w:color w:val="auto"/>
          <w:highlight w:val="none"/>
        </w:rPr>
        <w:t>二〇二</w:t>
      </w:r>
      <w:r>
        <w:rPr>
          <w:rFonts w:hint="eastAsia"/>
          <w:color w:val="auto"/>
          <w:highlight w:val="none"/>
        </w:rPr>
        <w:t>三</w:t>
      </w:r>
      <w:r>
        <w:rPr>
          <w:color w:val="auto"/>
          <w:highlight w:val="none"/>
        </w:rPr>
        <w:t>年  月  日</w:t>
      </w:r>
      <w:r>
        <w:rPr>
          <w:rFonts w:hint="eastAsia"/>
          <w:color w:val="auto"/>
          <w:highlight w:val="none"/>
        </w:rPr>
        <w:t xml:space="preserve">  </w:t>
      </w:r>
    </w:p>
    <w:p>
      <w:pPr>
        <w:ind w:firstLine="640"/>
        <w:rPr>
          <w:color w:val="auto"/>
          <w:highlight w:val="none"/>
        </w:rPr>
      </w:pPr>
      <w:r>
        <w:rPr>
          <w:color w:val="auto"/>
          <w:highlight w:val="none"/>
        </w:rPr>
        <w:br w:type="page"/>
      </w:r>
    </w:p>
    <w:p>
      <w:pPr>
        <w:ind w:left="0" w:leftChars="0" w:firstLine="0" w:firstLineChars="0"/>
        <w:jc w:val="center"/>
        <w:rPr>
          <w:rFonts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t>第二章、申请人须知</w:t>
      </w:r>
    </w:p>
    <w:p>
      <w:pPr>
        <w:ind w:firstLine="0" w:firstLineChars="0"/>
        <w:jc w:val="center"/>
        <w:outlineLvl w:val="0"/>
        <w:rPr>
          <w:rFonts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t>申请人须知前附表</w:t>
      </w:r>
    </w:p>
    <w:p>
      <w:pPr>
        <w:ind w:firstLine="640"/>
        <w:rPr>
          <w:color w:val="auto"/>
          <w:highlight w:val="none"/>
        </w:rPr>
      </w:pPr>
      <w:r>
        <w:rPr>
          <w:rFonts w:hint="eastAsia"/>
          <w:color w:val="auto"/>
          <w:highlight w:val="none"/>
        </w:rPr>
        <w:t>注：如遴选文件中出现前后不一致情形的，以前附表规定的为准，有变更的，以变更的为准。</w:t>
      </w:r>
    </w:p>
    <w:tbl>
      <w:tblPr>
        <w:tblStyle w:val="15"/>
        <w:tblW w:w="9337"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567"/>
        <w:gridCol w:w="2455"/>
        <w:gridCol w:w="5315"/>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300" w:hRule="atLeast"/>
          <w:tblHeader/>
          <w:jc w:val="center"/>
        </w:trPr>
        <w:tc>
          <w:tcPr>
            <w:tcW w:w="1567" w:type="dxa"/>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条款号</w:t>
            </w:r>
          </w:p>
        </w:tc>
        <w:tc>
          <w:tcPr>
            <w:tcW w:w="2455" w:type="dxa"/>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条款名称</w:t>
            </w:r>
          </w:p>
        </w:tc>
        <w:tc>
          <w:tcPr>
            <w:tcW w:w="5315" w:type="dxa"/>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编列内容规定</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47" w:hRule="atLeast"/>
          <w:jc w:val="center"/>
        </w:trPr>
        <w:tc>
          <w:tcPr>
            <w:tcW w:w="9337" w:type="dxa"/>
            <w:gridSpan w:val="3"/>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一、说明</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35" w:hRule="atLeast"/>
          <w:jc w:val="center"/>
        </w:trPr>
        <w:tc>
          <w:tcPr>
            <w:tcW w:w="1567" w:type="dxa"/>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第1.1款</w:t>
            </w:r>
          </w:p>
        </w:tc>
        <w:tc>
          <w:tcPr>
            <w:tcW w:w="2455" w:type="dxa"/>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招募项目</w:t>
            </w:r>
          </w:p>
        </w:tc>
        <w:tc>
          <w:tcPr>
            <w:tcW w:w="5315" w:type="dxa"/>
            <w:vAlign w:val="center"/>
          </w:tcPr>
          <w:p>
            <w:pPr>
              <w:pStyle w:val="20"/>
              <w:rPr>
                <w:rFonts w:hint="eastAsia" w:ascii="仿宋_GB2312" w:hAnsi="仿宋_GB2312" w:eastAsia="仿宋_GB2312" w:cs="仿宋_GB2312"/>
                <w:color w:val="auto"/>
                <w:szCs w:val="28"/>
                <w:highlight w:val="none"/>
                <w:lang w:eastAsia="zh-CN"/>
              </w:rPr>
            </w:pPr>
            <w:r>
              <w:rPr>
                <w:rFonts w:hint="eastAsia" w:ascii="仿宋_GB2312" w:hAnsi="仿宋_GB2312" w:cs="仿宋_GB2312"/>
                <w:color w:val="auto"/>
                <w:szCs w:val="28"/>
                <w:highlight w:val="none"/>
                <w:lang w:eastAsia="zh-CN"/>
              </w:rPr>
              <w:t>长沙市产业投资集团有限公司下属长沙市土地开发建设有限责任公司公开招募长投新成公寓运营合作单位</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35" w:hRule="atLeast"/>
          <w:jc w:val="center"/>
        </w:trPr>
        <w:tc>
          <w:tcPr>
            <w:tcW w:w="1567" w:type="dxa"/>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第1.2款</w:t>
            </w:r>
          </w:p>
        </w:tc>
        <w:tc>
          <w:tcPr>
            <w:tcW w:w="2455" w:type="dxa"/>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招募主体</w:t>
            </w:r>
          </w:p>
        </w:tc>
        <w:tc>
          <w:tcPr>
            <w:tcW w:w="5315" w:type="dxa"/>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招募主体：长沙市土地开发建设有限责任公司</w:t>
            </w:r>
          </w:p>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地    址：湖南省长沙市雨花区劳动东路238号</w:t>
            </w:r>
          </w:p>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联 系 人：罗女士</w:t>
            </w:r>
          </w:p>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电    话：/</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64" w:hRule="atLeast"/>
          <w:jc w:val="center"/>
        </w:trPr>
        <w:tc>
          <w:tcPr>
            <w:tcW w:w="1567" w:type="dxa"/>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第1.3款</w:t>
            </w:r>
          </w:p>
        </w:tc>
        <w:tc>
          <w:tcPr>
            <w:tcW w:w="2455" w:type="dxa"/>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代理机构</w:t>
            </w:r>
          </w:p>
        </w:tc>
        <w:tc>
          <w:tcPr>
            <w:tcW w:w="5315" w:type="dxa"/>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代理机构：长沙市招投标有限公司</w:t>
            </w:r>
          </w:p>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通讯地址：长沙市芙蓉区马王堆中路248号二楼</w:t>
            </w:r>
          </w:p>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联 系 人：方女士、熊女士</w:t>
            </w:r>
          </w:p>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联系电话：0731-82804737</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803" w:hRule="atLeast"/>
          <w:jc w:val="center"/>
        </w:trPr>
        <w:tc>
          <w:tcPr>
            <w:tcW w:w="1567" w:type="dxa"/>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第1.4款</w:t>
            </w:r>
          </w:p>
        </w:tc>
        <w:tc>
          <w:tcPr>
            <w:tcW w:w="2455" w:type="dxa"/>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意向合作单位的邀请方式</w:t>
            </w:r>
          </w:p>
        </w:tc>
        <w:tc>
          <w:tcPr>
            <w:tcW w:w="5315" w:type="dxa"/>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发布招募公告</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043" w:hRule="atLeast"/>
          <w:jc w:val="center"/>
        </w:trPr>
        <w:tc>
          <w:tcPr>
            <w:tcW w:w="1567" w:type="dxa"/>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第1.5款</w:t>
            </w:r>
          </w:p>
        </w:tc>
        <w:tc>
          <w:tcPr>
            <w:tcW w:w="2455" w:type="dxa"/>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意向合作单位的资格条件</w:t>
            </w:r>
          </w:p>
        </w:tc>
        <w:tc>
          <w:tcPr>
            <w:tcW w:w="5315" w:type="dxa"/>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详见第一章 招募公告</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5" w:hRule="atLeast"/>
          <w:jc w:val="center"/>
        </w:trPr>
        <w:tc>
          <w:tcPr>
            <w:tcW w:w="1567" w:type="dxa"/>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第1.6款</w:t>
            </w:r>
          </w:p>
        </w:tc>
        <w:tc>
          <w:tcPr>
            <w:tcW w:w="2455" w:type="dxa"/>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联合体形式</w:t>
            </w:r>
          </w:p>
        </w:tc>
        <w:tc>
          <w:tcPr>
            <w:tcW w:w="5315" w:type="dxa"/>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本次招募不接受联合体参与。</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51" w:hRule="atLeast"/>
          <w:jc w:val="center"/>
        </w:trPr>
        <w:tc>
          <w:tcPr>
            <w:tcW w:w="9337" w:type="dxa"/>
            <w:gridSpan w:val="3"/>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二、遴选文件</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0" w:hRule="atLeast"/>
          <w:jc w:val="center"/>
        </w:trPr>
        <w:tc>
          <w:tcPr>
            <w:tcW w:w="1567" w:type="dxa"/>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第2.1款</w:t>
            </w:r>
          </w:p>
        </w:tc>
        <w:tc>
          <w:tcPr>
            <w:tcW w:w="2455" w:type="dxa"/>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遴选文件的可能实质性变动内容</w:t>
            </w:r>
          </w:p>
        </w:tc>
        <w:tc>
          <w:tcPr>
            <w:tcW w:w="5315" w:type="dxa"/>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无</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0" w:hRule="atLeast"/>
          <w:jc w:val="center"/>
        </w:trPr>
        <w:tc>
          <w:tcPr>
            <w:tcW w:w="1567" w:type="dxa"/>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第2.2款</w:t>
            </w:r>
          </w:p>
        </w:tc>
        <w:tc>
          <w:tcPr>
            <w:tcW w:w="2455" w:type="dxa"/>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提交首次合作申请文件的截止时间</w:t>
            </w:r>
          </w:p>
        </w:tc>
        <w:tc>
          <w:tcPr>
            <w:tcW w:w="5315" w:type="dxa"/>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2023年</w:t>
            </w:r>
            <w:r>
              <w:rPr>
                <w:rFonts w:hint="eastAsia" w:ascii="仿宋_GB2312" w:hAnsi="仿宋_GB2312" w:cs="仿宋_GB2312"/>
                <w:color w:val="auto"/>
                <w:szCs w:val="28"/>
                <w:highlight w:val="none"/>
                <w:lang w:val="en-US" w:eastAsia="zh-CN"/>
              </w:rPr>
              <w:t>3</w:t>
            </w:r>
            <w:r>
              <w:rPr>
                <w:rFonts w:hint="eastAsia" w:ascii="仿宋_GB2312" w:hAnsi="仿宋_GB2312" w:cs="仿宋_GB2312"/>
                <w:color w:val="auto"/>
                <w:szCs w:val="28"/>
                <w:highlight w:val="none"/>
              </w:rPr>
              <w:t>月</w:t>
            </w:r>
            <w:r>
              <w:rPr>
                <w:rFonts w:hint="eastAsia" w:ascii="仿宋_GB2312" w:hAnsi="仿宋_GB2312" w:cs="仿宋_GB2312"/>
                <w:color w:val="auto"/>
                <w:szCs w:val="28"/>
                <w:highlight w:val="none"/>
                <w:lang w:val="en-US" w:eastAsia="zh-CN"/>
              </w:rPr>
              <w:t>30</w:t>
            </w:r>
            <w:r>
              <w:rPr>
                <w:rFonts w:hint="eastAsia" w:ascii="仿宋_GB2312" w:hAnsi="仿宋_GB2312" w:cs="仿宋_GB2312"/>
                <w:color w:val="auto"/>
                <w:szCs w:val="28"/>
                <w:highlight w:val="none"/>
              </w:rPr>
              <w:t>日</w:t>
            </w:r>
            <w:r>
              <w:rPr>
                <w:rFonts w:hint="eastAsia" w:ascii="仿宋_GB2312" w:hAnsi="仿宋_GB2312" w:cs="仿宋_GB2312"/>
                <w:color w:val="auto"/>
                <w:szCs w:val="28"/>
                <w:highlight w:val="none"/>
                <w:lang w:val="en-US" w:eastAsia="zh-CN"/>
              </w:rPr>
              <w:t>13</w:t>
            </w:r>
            <w:r>
              <w:rPr>
                <w:rFonts w:hint="eastAsia" w:ascii="仿宋_GB2312" w:hAnsi="仿宋_GB2312" w:cs="仿宋_GB2312"/>
                <w:color w:val="auto"/>
                <w:szCs w:val="28"/>
                <w:highlight w:val="none"/>
              </w:rPr>
              <w:t>时</w:t>
            </w:r>
            <w:r>
              <w:rPr>
                <w:rFonts w:hint="eastAsia" w:ascii="仿宋_GB2312" w:hAnsi="仿宋_GB2312" w:cs="仿宋_GB2312"/>
                <w:color w:val="auto"/>
                <w:szCs w:val="28"/>
                <w:highlight w:val="none"/>
                <w:lang w:val="en-US" w:eastAsia="zh-CN"/>
              </w:rPr>
              <w:t>30</w:t>
            </w:r>
            <w:r>
              <w:rPr>
                <w:rFonts w:hint="eastAsia" w:ascii="仿宋_GB2312" w:hAnsi="仿宋_GB2312" w:cs="仿宋_GB2312"/>
                <w:color w:val="auto"/>
                <w:szCs w:val="28"/>
                <w:highlight w:val="none"/>
              </w:rPr>
              <w:t>分(北京时间)</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21" w:hRule="atLeast"/>
          <w:jc w:val="center"/>
        </w:trPr>
        <w:tc>
          <w:tcPr>
            <w:tcW w:w="9337" w:type="dxa"/>
            <w:gridSpan w:val="3"/>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三、合作申请文件的编写</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99" w:hRule="atLeast"/>
          <w:jc w:val="center"/>
        </w:trPr>
        <w:tc>
          <w:tcPr>
            <w:tcW w:w="1567" w:type="dxa"/>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第3.1款</w:t>
            </w:r>
          </w:p>
        </w:tc>
        <w:tc>
          <w:tcPr>
            <w:tcW w:w="2455" w:type="dxa"/>
            <w:vAlign w:val="center"/>
          </w:tcPr>
          <w:p>
            <w:pPr>
              <w:pStyle w:val="20"/>
              <w:rPr>
                <w:rFonts w:ascii="仿宋_GB2312" w:hAnsi="仿宋_GB2312" w:cs="仿宋_GB2312"/>
                <w:color w:val="auto"/>
                <w:szCs w:val="28"/>
                <w:highlight w:val="none"/>
              </w:rPr>
            </w:pPr>
            <w:r>
              <w:rPr>
                <w:rFonts w:hint="eastAsia"/>
                <w:color w:val="auto"/>
                <w:highlight w:val="none"/>
              </w:rPr>
              <w:t>信誉保证金</w:t>
            </w:r>
          </w:p>
        </w:tc>
        <w:tc>
          <w:tcPr>
            <w:tcW w:w="5315" w:type="dxa"/>
            <w:vAlign w:val="center"/>
          </w:tcPr>
          <w:p>
            <w:pPr>
              <w:pStyle w:val="20"/>
              <w:rPr>
                <w:color w:val="auto"/>
                <w:highlight w:val="none"/>
              </w:rPr>
            </w:pPr>
            <w:r>
              <w:rPr>
                <w:rFonts w:hint="eastAsia"/>
                <w:color w:val="auto"/>
                <w:highlight w:val="none"/>
              </w:rPr>
              <w:t>信誉保证金</w:t>
            </w:r>
          </w:p>
          <w:p>
            <w:pPr>
              <w:pStyle w:val="20"/>
              <w:rPr>
                <w:color w:val="auto"/>
                <w:highlight w:val="none"/>
              </w:rPr>
            </w:pPr>
            <w:r>
              <w:rPr>
                <w:rFonts w:hint="eastAsia"/>
                <w:color w:val="auto"/>
                <w:highlight w:val="none"/>
              </w:rPr>
              <w:t>金额：贰拾万元整（¥：200000.00元）</w:t>
            </w:r>
          </w:p>
          <w:p>
            <w:pPr>
              <w:pStyle w:val="20"/>
              <w:rPr>
                <w:color w:val="auto"/>
                <w:highlight w:val="none"/>
              </w:rPr>
            </w:pPr>
            <w:r>
              <w:rPr>
                <w:rFonts w:hint="eastAsia"/>
                <w:color w:val="auto"/>
                <w:highlight w:val="none"/>
              </w:rPr>
              <w:t>缴纳形式：现金转账；</w:t>
            </w:r>
          </w:p>
          <w:p>
            <w:pPr>
              <w:pStyle w:val="20"/>
              <w:rPr>
                <w:color w:val="auto"/>
                <w:highlight w:val="none"/>
              </w:rPr>
            </w:pPr>
            <w:r>
              <w:rPr>
                <w:color w:val="auto"/>
                <w:highlight w:val="none"/>
              </w:rPr>
              <w:t>账户名：长沙市招投标有限公司投标保证金专户</w:t>
            </w:r>
          </w:p>
          <w:p>
            <w:pPr>
              <w:pStyle w:val="20"/>
              <w:rPr>
                <w:color w:val="auto"/>
                <w:highlight w:val="none"/>
              </w:rPr>
            </w:pPr>
            <w:r>
              <w:rPr>
                <w:color w:val="auto"/>
                <w:highlight w:val="none"/>
              </w:rPr>
              <w:t>开户行：长沙银行开福支行</w:t>
            </w:r>
          </w:p>
          <w:p>
            <w:pPr>
              <w:pStyle w:val="20"/>
              <w:rPr>
                <w:color w:val="auto"/>
                <w:highlight w:val="none"/>
              </w:rPr>
            </w:pPr>
            <w:r>
              <w:rPr>
                <w:color w:val="auto"/>
                <w:highlight w:val="none"/>
              </w:rPr>
              <w:t>账  号：8002 9923 9309 021</w:t>
            </w:r>
          </w:p>
          <w:p>
            <w:pPr>
              <w:pStyle w:val="20"/>
              <w:rPr>
                <w:color w:val="auto"/>
                <w:highlight w:val="none"/>
              </w:rPr>
            </w:pPr>
            <w:r>
              <w:rPr>
                <w:color w:val="auto"/>
                <w:highlight w:val="none"/>
              </w:rPr>
              <w:t>缴纳时间：</w:t>
            </w:r>
            <w:r>
              <w:rPr>
                <w:rFonts w:hint="eastAsia"/>
                <w:color w:val="auto"/>
                <w:highlight w:val="none"/>
              </w:rPr>
              <w:t>2023</w:t>
            </w:r>
            <w:r>
              <w:rPr>
                <w:color w:val="auto"/>
                <w:highlight w:val="none"/>
              </w:rPr>
              <w:t>年</w:t>
            </w:r>
            <w:r>
              <w:rPr>
                <w:rFonts w:hint="eastAsia"/>
                <w:color w:val="auto"/>
                <w:highlight w:val="none"/>
                <w:lang w:val="en-US" w:eastAsia="zh-CN"/>
              </w:rPr>
              <w:t>3</w:t>
            </w:r>
            <w:r>
              <w:rPr>
                <w:color w:val="auto"/>
                <w:highlight w:val="none"/>
              </w:rPr>
              <w:t>月</w:t>
            </w:r>
            <w:r>
              <w:rPr>
                <w:rFonts w:hint="eastAsia"/>
                <w:color w:val="auto"/>
                <w:highlight w:val="none"/>
                <w:lang w:val="en-US" w:eastAsia="zh-CN"/>
              </w:rPr>
              <w:t>30</w:t>
            </w:r>
            <w:r>
              <w:rPr>
                <w:color w:val="auto"/>
                <w:highlight w:val="none"/>
              </w:rPr>
              <w:t>日</w:t>
            </w:r>
            <w:r>
              <w:rPr>
                <w:rFonts w:hint="eastAsia"/>
                <w:color w:val="auto"/>
                <w:highlight w:val="none"/>
                <w:lang w:val="en-US" w:eastAsia="zh-CN"/>
              </w:rPr>
              <w:t>13</w:t>
            </w:r>
            <w:r>
              <w:rPr>
                <w:rFonts w:hint="eastAsia"/>
                <w:color w:val="auto"/>
                <w:highlight w:val="none"/>
              </w:rPr>
              <w:t>时</w:t>
            </w:r>
            <w:r>
              <w:rPr>
                <w:rFonts w:hint="eastAsia"/>
                <w:color w:val="auto"/>
                <w:highlight w:val="none"/>
                <w:lang w:val="en-US" w:eastAsia="zh-CN"/>
              </w:rPr>
              <w:t>30</w:t>
            </w:r>
            <w:r>
              <w:rPr>
                <w:rFonts w:hint="eastAsia"/>
                <w:color w:val="auto"/>
                <w:highlight w:val="none"/>
              </w:rPr>
              <w:t>分（北京时间）</w:t>
            </w:r>
            <w:r>
              <w:rPr>
                <w:color w:val="auto"/>
                <w:highlight w:val="none"/>
              </w:rPr>
              <w:t>前。未按时足额缴纳保证金的，</w:t>
            </w:r>
            <w:r>
              <w:rPr>
                <w:rFonts w:hint="eastAsia"/>
                <w:color w:val="auto"/>
                <w:highlight w:val="none"/>
              </w:rPr>
              <w:t>提交合作申请书时将被拒绝</w:t>
            </w:r>
            <w:r>
              <w:rPr>
                <w:color w:val="auto"/>
                <w:highlight w:val="none"/>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99" w:hRule="atLeast"/>
          <w:jc w:val="center"/>
        </w:trPr>
        <w:tc>
          <w:tcPr>
            <w:tcW w:w="1567" w:type="dxa"/>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第3.2款</w:t>
            </w:r>
          </w:p>
        </w:tc>
        <w:tc>
          <w:tcPr>
            <w:tcW w:w="2455" w:type="dxa"/>
            <w:vAlign w:val="center"/>
          </w:tcPr>
          <w:p>
            <w:pPr>
              <w:pStyle w:val="20"/>
              <w:rPr>
                <w:color w:val="auto"/>
                <w:highlight w:val="none"/>
              </w:rPr>
            </w:pPr>
            <w:r>
              <w:rPr>
                <w:rFonts w:hint="eastAsia"/>
                <w:color w:val="auto"/>
                <w:highlight w:val="none"/>
              </w:rPr>
              <w:t>信誉保证金的退还</w:t>
            </w:r>
          </w:p>
        </w:tc>
        <w:tc>
          <w:tcPr>
            <w:tcW w:w="5315" w:type="dxa"/>
            <w:vAlign w:val="center"/>
          </w:tcPr>
          <w:p>
            <w:pPr>
              <w:pStyle w:val="20"/>
              <w:rPr>
                <w:color w:val="auto"/>
                <w:highlight w:val="none"/>
              </w:rPr>
            </w:pPr>
            <w:r>
              <w:rPr>
                <w:color w:val="auto"/>
                <w:highlight w:val="none"/>
              </w:rPr>
              <w:t>1.如申请人无正当理由主动放弃合作或在报名、遴选过程中存在弄虚作假等行为的，取消合作资格，</w:t>
            </w:r>
            <w:r>
              <w:rPr>
                <w:rFonts w:hint="eastAsia"/>
                <w:color w:val="auto"/>
                <w:highlight w:val="none"/>
              </w:rPr>
              <w:t>信誉</w:t>
            </w:r>
            <w:r>
              <w:rPr>
                <w:color w:val="auto"/>
                <w:highlight w:val="none"/>
              </w:rPr>
              <w:t>保证金不予退还；</w:t>
            </w:r>
          </w:p>
          <w:p>
            <w:pPr>
              <w:pStyle w:val="20"/>
              <w:rPr>
                <w:color w:val="auto"/>
                <w:highlight w:val="none"/>
              </w:rPr>
            </w:pPr>
            <w:r>
              <w:rPr>
                <w:color w:val="auto"/>
                <w:highlight w:val="none"/>
              </w:rPr>
              <w:t>2.除不予退还情形外，</w:t>
            </w:r>
            <w:r>
              <w:rPr>
                <w:rFonts w:hint="eastAsia"/>
                <w:color w:val="auto"/>
                <w:highlight w:val="none"/>
              </w:rPr>
              <w:t>长沙市土地开发建设有限责任公司</w:t>
            </w:r>
            <w:r>
              <w:rPr>
                <w:color w:val="auto"/>
                <w:highlight w:val="none"/>
              </w:rPr>
              <w:t>将在签订《合作协议》后无息返还所有申请人已缴纳的保证金。</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99" w:hRule="atLeast"/>
          <w:jc w:val="center"/>
        </w:trPr>
        <w:tc>
          <w:tcPr>
            <w:tcW w:w="1567" w:type="dxa"/>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第3.3款</w:t>
            </w:r>
          </w:p>
        </w:tc>
        <w:tc>
          <w:tcPr>
            <w:tcW w:w="2455" w:type="dxa"/>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合作申请文件有效期</w:t>
            </w:r>
          </w:p>
        </w:tc>
        <w:tc>
          <w:tcPr>
            <w:tcW w:w="5315" w:type="dxa"/>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90日（日历日）</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00" w:hRule="atLeast"/>
          <w:jc w:val="center"/>
        </w:trPr>
        <w:tc>
          <w:tcPr>
            <w:tcW w:w="1567" w:type="dxa"/>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第3.4款</w:t>
            </w:r>
          </w:p>
        </w:tc>
        <w:tc>
          <w:tcPr>
            <w:tcW w:w="2455" w:type="dxa"/>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文件份数</w:t>
            </w:r>
          </w:p>
        </w:tc>
        <w:tc>
          <w:tcPr>
            <w:tcW w:w="5315" w:type="dxa"/>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文件一式五份，不分正副本；</w:t>
            </w:r>
          </w:p>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电子U盘一份</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96" w:hRule="atLeast"/>
          <w:jc w:val="center"/>
        </w:trPr>
        <w:tc>
          <w:tcPr>
            <w:tcW w:w="9337" w:type="dxa"/>
            <w:gridSpan w:val="3"/>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四、合作申请文件的递交</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6" w:hRule="atLeast"/>
          <w:jc w:val="center"/>
        </w:trPr>
        <w:tc>
          <w:tcPr>
            <w:tcW w:w="1567" w:type="dxa"/>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第4.1款</w:t>
            </w:r>
          </w:p>
        </w:tc>
        <w:tc>
          <w:tcPr>
            <w:tcW w:w="2455" w:type="dxa"/>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封套上应载明的信息</w:t>
            </w:r>
          </w:p>
        </w:tc>
        <w:tc>
          <w:tcPr>
            <w:tcW w:w="5315" w:type="dxa"/>
            <w:vAlign w:val="center"/>
          </w:tcPr>
          <w:p>
            <w:pPr>
              <w:pStyle w:val="20"/>
              <w:rPr>
                <w:rFonts w:ascii="仿宋_GB2312" w:hAnsi="仿宋_GB2312" w:cs="仿宋_GB2312"/>
                <w:color w:val="auto"/>
                <w:szCs w:val="28"/>
                <w:highlight w:val="none"/>
              </w:rPr>
            </w:pPr>
            <w:r>
              <w:rPr>
                <w:rFonts w:hint="eastAsia"/>
                <w:color w:val="auto"/>
                <w:highlight w:val="none"/>
                <w:lang w:eastAsia="zh-CN"/>
              </w:rPr>
              <w:t>长沙市产业投资集团有限公司下属长沙市土地开发建设有限责任公司公开招募长投新成公寓运营合作单位</w:t>
            </w:r>
            <w:r>
              <w:rPr>
                <w:rFonts w:hint="eastAsia"/>
                <w:color w:val="auto"/>
                <w:highlight w:val="none"/>
              </w:rPr>
              <w:t>申请文件</w:t>
            </w:r>
          </w:p>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申请人名称：</w:t>
            </w:r>
          </w:p>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于  年  月  日  ：  之前不准启封</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35" w:hRule="atLeast"/>
          <w:jc w:val="center"/>
        </w:trPr>
        <w:tc>
          <w:tcPr>
            <w:tcW w:w="1567" w:type="dxa"/>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第4.2款</w:t>
            </w:r>
          </w:p>
        </w:tc>
        <w:tc>
          <w:tcPr>
            <w:tcW w:w="2455" w:type="dxa"/>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合作申请文件的递交地点</w:t>
            </w:r>
          </w:p>
        </w:tc>
        <w:tc>
          <w:tcPr>
            <w:tcW w:w="5315" w:type="dxa"/>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长沙市芙蓉区马王堆中路248号二楼</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35" w:hRule="atLeast"/>
          <w:jc w:val="center"/>
        </w:trPr>
        <w:tc>
          <w:tcPr>
            <w:tcW w:w="1567" w:type="dxa"/>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第4.3款</w:t>
            </w:r>
          </w:p>
        </w:tc>
        <w:tc>
          <w:tcPr>
            <w:tcW w:w="2455" w:type="dxa"/>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遴选开始时间和地点</w:t>
            </w:r>
          </w:p>
        </w:tc>
        <w:tc>
          <w:tcPr>
            <w:tcW w:w="5315" w:type="dxa"/>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时间：同合作申请文件的递交截止时间</w:t>
            </w:r>
          </w:p>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地点：同合作申请文件的递交地点</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04" w:hRule="atLeast"/>
          <w:jc w:val="center"/>
        </w:trPr>
        <w:tc>
          <w:tcPr>
            <w:tcW w:w="9337" w:type="dxa"/>
            <w:gridSpan w:val="3"/>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五、合作申请文件的遴选评审</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35" w:hRule="atLeast"/>
          <w:jc w:val="center"/>
        </w:trPr>
        <w:tc>
          <w:tcPr>
            <w:tcW w:w="1567" w:type="dxa"/>
            <w:shd w:val="clear" w:color="auto" w:fill="FFFFFF"/>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第5.1款</w:t>
            </w:r>
          </w:p>
        </w:tc>
        <w:tc>
          <w:tcPr>
            <w:tcW w:w="2455" w:type="dxa"/>
            <w:shd w:val="clear" w:color="auto" w:fill="FFFFFF"/>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遴选评审方法</w:t>
            </w:r>
          </w:p>
        </w:tc>
        <w:tc>
          <w:tcPr>
            <w:tcW w:w="5315" w:type="dxa"/>
            <w:shd w:val="clear" w:color="auto" w:fill="FFFFFF"/>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综合评分法，是指在最大限度地满足遴选文件实质性要求前提下，按照本遴选文件中规定的各项因素进行综合评审后，以评审总得分最高的申请人作为</w:t>
            </w:r>
            <w:r>
              <w:rPr>
                <w:rFonts w:hint="eastAsia"/>
                <w:color w:val="auto"/>
                <w:highlight w:val="none"/>
              </w:rPr>
              <w:t>拟实施合作第一顺序对象</w:t>
            </w:r>
            <w:r>
              <w:rPr>
                <w:rFonts w:hint="eastAsia" w:ascii="仿宋_GB2312" w:hAnsi="仿宋_GB2312" w:cs="仿宋_GB2312"/>
                <w:color w:val="auto"/>
                <w:szCs w:val="28"/>
                <w:highlight w:val="none"/>
              </w:rPr>
              <w:t>的评审方法。</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391" w:hRule="atLeast"/>
          <w:jc w:val="center"/>
        </w:trPr>
        <w:tc>
          <w:tcPr>
            <w:tcW w:w="9337" w:type="dxa"/>
            <w:gridSpan w:val="3"/>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六、成交结果信息公布</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76" w:hRule="atLeast"/>
          <w:jc w:val="center"/>
        </w:trPr>
        <w:tc>
          <w:tcPr>
            <w:tcW w:w="1567" w:type="dxa"/>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第6.1款</w:t>
            </w:r>
          </w:p>
        </w:tc>
        <w:tc>
          <w:tcPr>
            <w:tcW w:w="2455" w:type="dxa"/>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指定的媒体</w:t>
            </w:r>
          </w:p>
        </w:tc>
        <w:tc>
          <w:tcPr>
            <w:tcW w:w="5315" w:type="dxa"/>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长沙市产业投资集团官网</w:t>
            </w:r>
          </w:p>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（http：//www.csctjt.com/）、长沙联交所官方网站（www.cscqjy.com.cn）</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76" w:hRule="atLeast"/>
          <w:jc w:val="center"/>
        </w:trPr>
        <w:tc>
          <w:tcPr>
            <w:tcW w:w="1567" w:type="dxa"/>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第6.2款</w:t>
            </w:r>
          </w:p>
        </w:tc>
        <w:tc>
          <w:tcPr>
            <w:tcW w:w="2455" w:type="dxa"/>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遴选评审委员会的组建</w:t>
            </w:r>
          </w:p>
        </w:tc>
        <w:tc>
          <w:tcPr>
            <w:tcW w:w="5315" w:type="dxa"/>
            <w:vAlign w:val="center"/>
          </w:tcPr>
          <w:p>
            <w:pPr>
              <w:pStyle w:val="20"/>
              <w:rPr>
                <w:rFonts w:ascii="仿宋_GB2312" w:hAnsi="仿宋_GB2312" w:cs="仿宋_GB2312"/>
                <w:color w:val="auto"/>
                <w:szCs w:val="28"/>
                <w:highlight w:val="none"/>
              </w:rPr>
            </w:pPr>
            <w:r>
              <w:rPr>
                <w:rFonts w:hint="eastAsia"/>
                <w:color w:val="auto"/>
                <w:highlight w:val="none"/>
              </w:rPr>
              <w:t>评审委员会由5人及以上单数组成，从湖南省综合专家库中抽取3人，其余由产投集团和长沙市土地开发建设有限责任公司相关人员组成。</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841" w:hRule="atLeast"/>
          <w:jc w:val="center"/>
        </w:trPr>
        <w:tc>
          <w:tcPr>
            <w:tcW w:w="1567" w:type="dxa"/>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第6.3款</w:t>
            </w:r>
          </w:p>
        </w:tc>
        <w:tc>
          <w:tcPr>
            <w:tcW w:w="2455" w:type="dxa"/>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定选方式</w:t>
            </w:r>
          </w:p>
        </w:tc>
        <w:tc>
          <w:tcPr>
            <w:tcW w:w="5315" w:type="dxa"/>
            <w:vAlign w:val="center"/>
          </w:tcPr>
          <w:p>
            <w:pPr>
              <w:pStyle w:val="20"/>
              <w:rPr>
                <w:rFonts w:ascii="仿宋_GB2312" w:hAnsi="仿宋_GB2312" w:cs="仿宋_GB2312"/>
                <w:color w:val="auto"/>
                <w:szCs w:val="28"/>
                <w:highlight w:val="none"/>
              </w:rPr>
            </w:pPr>
            <w:r>
              <w:rPr>
                <w:rFonts w:hint="eastAsia"/>
                <w:color w:val="auto"/>
                <w:highlight w:val="none"/>
              </w:rPr>
              <w:t>符合要求且得分在</w:t>
            </w:r>
            <w:r>
              <w:rPr>
                <w:rFonts w:hint="eastAsia"/>
                <w:color w:val="auto"/>
                <w:highlight w:val="none"/>
                <w:lang w:val="en-US" w:eastAsia="zh-CN"/>
              </w:rPr>
              <w:t>70</w:t>
            </w:r>
            <w:r>
              <w:rPr>
                <w:rFonts w:hint="eastAsia"/>
                <w:color w:val="auto"/>
                <w:highlight w:val="none"/>
              </w:rPr>
              <w:t>分（含）以上的申请人，按得分高低排序（得分低于</w:t>
            </w:r>
            <w:r>
              <w:rPr>
                <w:rFonts w:hint="eastAsia"/>
                <w:color w:val="auto"/>
                <w:highlight w:val="none"/>
                <w:lang w:val="en-US" w:eastAsia="zh-CN"/>
              </w:rPr>
              <w:t>70</w:t>
            </w:r>
            <w:r>
              <w:rPr>
                <w:rFonts w:hint="eastAsia"/>
                <w:color w:val="auto"/>
                <w:highlight w:val="none"/>
              </w:rPr>
              <w:t>分的不参加排序），得分最高的申请人将作为长沙市土地开发建设有限责任公司拟实施合作的第一顺序对象。第一顺位申请人未能与招募主体签订正式合作协议的，招募主体有权选择第二顺序的申请人进行合作，以此类推，确定最终的合作伙伴或重新发布招募公告。</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73" w:hRule="atLeast"/>
          <w:jc w:val="center"/>
        </w:trPr>
        <w:tc>
          <w:tcPr>
            <w:tcW w:w="9337" w:type="dxa"/>
            <w:gridSpan w:val="3"/>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七、其他规定</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82" w:hRule="atLeast"/>
          <w:jc w:val="center"/>
        </w:trPr>
        <w:tc>
          <w:tcPr>
            <w:tcW w:w="1567" w:type="dxa"/>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第7.1款</w:t>
            </w:r>
          </w:p>
        </w:tc>
        <w:tc>
          <w:tcPr>
            <w:tcW w:w="2455" w:type="dxa"/>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其他规定</w:t>
            </w:r>
          </w:p>
        </w:tc>
        <w:tc>
          <w:tcPr>
            <w:tcW w:w="5315" w:type="dxa"/>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无</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20" w:hRule="atLeast"/>
          <w:jc w:val="center"/>
        </w:trPr>
        <w:tc>
          <w:tcPr>
            <w:tcW w:w="1567" w:type="dxa"/>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第7.2款</w:t>
            </w:r>
          </w:p>
        </w:tc>
        <w:tc>
          <w:tcPr>
            <w:tcW w:w="2455" w:type="dxa"/>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代理服务费</w:t>
            </w:r>
          </w:p>
        </w:tc>
        <w:tc>
          <w:tcPr>
            <w:tcW w:w="5315" w:type="dxa"/>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本项目需要缴纳遴选代理服务费共计陆万捌仟元（</w:t>
            </w:r>
            <w:r>
              <w:rPr>
                <w:color w:val="auto"/>
                <w:szCs w:val="28"/>
                <w:highlight w:val="none"/>
              </w:rPr>
              <w:t>¥：</w:t>
            </w:r>
            <w:r>
              <w:rPr>
                <w:rFonts w:hint="eastAsia"/>
                <w:color w:val="auto"/>
                <w:szCs w:val="28"/>
                <w:highlight w:val="none"/>
              </w:rPr>
              <w:t>68</w:t>
            </w:r>
            <w:r>
              <w:rPr>
                <w:color w:val="auto"/>
                <w:szCs w:val="28"/>
                <w:highlight w:val="none"/>
              </w:rPr>
              <w:t>000.00</w:t>
            </w:r>
            <w:r>
              <w:rPr>
                <w:rFonts w:hint="eastAsia" w:ascii="仿宋_GB2312" w:hAnsi="仿宋_GB2312" w:cs="仿宋_GB2312"/>
                <w:color w:val="auto"/>
                <w:szCs w:val="28"/>
                <w:highlight w:val="none"/>
              </w:rPr>
              <w:t>），由最终合作对象在签订《合作协议》前，向代理公司支付。</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20" w:hRule="atLeast"/>
          <w:jc w:val="center"/>
        </w:trPr>
        <w:tc>
          <w:tcPr>
            <w:tcW w:w="1567" w:type="dxa"/>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第7.3款</w:t>
            </w:r>
          </w:p>
        </w:tc>
        <w:tc>
          <w:tcPr>
            <w:tcW w:w="2455" w:type="dxa"/>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其他要求</w:t>
            </w:r>
          </w:p>
        </w:tc>
        <w:tc>
          <w:tcPr>
            <w:tcW w:w="5315" w:type="dxa"/>
            <w:vAlign w:val="center"/>
          </w:tcPr>
          <w:p>
            <w:pPr>
              <w:pStyle w:val="20"/>
              <w:rPr>
                <w:rFonts w:ascii="仿宋_GB2312" w:hAnsi="仿宋_GB2312" w:cs="仿宋_GB2312"/>
                <w:color w:val="auto"/>
                <w:szCs w:val="28"/>
                <w:highlight w:val="none"/>
              </w:rPr>
            </w:pPr>
            <w:r>
              <w:rPr>
                <w:rFonts w:hint="eastAsia" w:ascii="仿宋_GB2312" w:hAnsi="仿宋_GB2312" w:cs="仿宋_GB2312"/>
                <w:color w:val="auto"/>
                <w:szCs w:val="28"/>
                <w:highlight w:val="none"/>
              </w:rPr>
              <w:t>在规定的公告期限内未征集到1家以上（含1家）潜在申请人，且不变更公告内容的，可以按照公告的约定延长信息公告期限，延长期限应当不少于3天。在规定的公告期限内只征集到1家潜在申请人，经委托方书面同意后可根据遴选文件将评审工作继续进行。</w:t>
            </w:r>
          </w:p>
        </w:tc>
      </w:tr>
    </w:tbl>
    <w:p>
      <w:pPr>
        <w:ind w:firstLine="640"/>
        <w:rPr>
          <w:color w:val="auto"/>
          <w:highlight w:val="none"/>
        </w:rPr>
      </w:pPr>
      <w:r>
        <w:rPr>
          <w:rFonts w:hint="eastAsia"/>
          <w:color w:val="auto"/>
          <w:highlight w:val="none"/>
        </w:rPr>
        <w:br w:type="page"/>
      </w:r>
    </w:p>
    <w:p>
      <w:pPr>
        <w:ind w:firstLine="0" w:firstLineChars="0"/>
        <w:jc w:val="center"/>
        <w:outlineLvl w:val="0"/>
        <w:rPr>
          <w:rFonts w:ascii="方正小标宋简体" w:hAnsi="方正小标宋简体" w:eastAsia="方正小标宋简体" w:cs="方正小标宋简体"/>
          <w:b/>
          <w:bCs/>
          <w:color w:val="auto"/>
          <w:sz w:val="44"/>
          <w:szCs w:val="44"/>
          <w:highlight w:val="none"/>
        </w:rPr>
      </w:pPr>
      <w:r>
        <w:rPr>
          <w:rFonts w:hint="eastAsia" w:ascii="方正小标宋简体" w:hAnsi="方正小标宋简体" w:eastAsia="方正小标宋简体" w:cs="方正小标宋简体"/>
          <w:b/>
          <w:bCs/>
          <w:color w:val="auto"/>
          <w:sz w:val="44"/>
          <w:szCs w:val="44"/>
          <w:highlight w:val="none"/>
        </w:rPr>
        <w:t>申请人须知正文</w:t>
      </w:r>
    </w:p>
    <w:p>
      <w:pPr>
        <w:ind w:firstLine="640"/>
        <w:rPr>
          <w:color w:val="auto"/>
          <w:highlight w:val="none"/>
        </w:rPr>
      </w:pPr>
      <w:r>
        <w:rPr>
          <w:rFonts w:hint="eastAsia"/>
          <w:color w:val="auto"/>
          <w:highlight w:val="none"/>
        </w:rPr>
        <w:t>1.总则</w:t>
      </w:r>
    </w:p>
    <w:p>
      <w:pPr>
        <w:ind w:firstLine="640"/>
        <w:rPr>
          <w:color w:val="auto"/>
          <w:highlight w:val="none"/>
        </w:rPr>
      </w:pPr>
      <w:r>
        <w:rPr>
          <w:rFonts w:hint="eastAsia"/>
          <w:color w:val="auto"/>
          <w:highlight w:val="none"/>
        </w:rPr>
        <w:t>1.1 适用范围</w:t>
      </w:r>
    </w:p>
    <w:p>
      <w:pPr>
        <w:ind w:firstLine="640"/>
        <w:rPr>
          <w:color w:val="auto"/>
          <w:highlight w:val="none"/>
        </w:rPr>
      </w:pPr>
      <w:r>
        <w:rPr>
          <w:rFonts w:hint="eastAsia"/>
          <w:color w:val="auto"/>
          <w:highlight w:val="none"/>
        </w:rPr>
        <w:t>1.1.1 本遴选文件适用于本次遴选公告中所叙述的项目。</w:t>
      </w:r>
    </w:p>
    <w:p>
      <w:pPr>
        <w:ind w:firstLine="640"/>
        <w:rPr>
          <w:color w:val="auto"/>
          <w:highlight w:val="none"/>
        </w:rPr>
      </w:pPr>
      <w:r>
        <w:rPr>
          <w:rFonts w:hint="eastAsia"/>
          <w:color w:val="auto"/>
          <w:highlight w:val="none"/>
        </w:rPr>
        <w:t>1.2 定义</w:t>
      </w:r>
    </w:p>
    <w:p>
      <w:pPr>
        <w:ind w:firstLine="640"/>
        <w:rPr>
          <w:color w:val="auto"/>
          <w:highlight w:val="none"/>
        </w:rPr>
      </w:pPr>
      <w:r>
        <w:rPr>
          <w:rFonts w:hint="eastAsia"/>
          <w:color w:val="auto"/>
          <w:highlight w:val="none"/>
        </w:rPr>
        <w:t>1.2.1“招募主体”系指组织本次遴选的长沙市土地开发建设有限责任公司。</w:t>
      </w:r>
    </w:p>
    <w:p>
      <w:pPr>
        <w:ind w:firstLine="640"/>
        <w:rPr>
          <w:color w:val="auto"/>
          <w:highlight w:val="none"/>
        </w:rPr>
      </w:pPr>
      <w:r>
        <w:rPr>
          <w:rFonts w:hint="eastAsia"/>
          <w:color w:val="auto"/>
          <w:highlight w:val="none"/>
        </w:rPr>
        <w:t>1.2.2“遴选文件”：由招募主体按照有关规定，对参与本次遴选的意向合作单位提出的资格条件、遴选评审标准等要求的格式文件。</w:t>
      </w:r>
    </w:p>
    <w:p>
      <w:pPr>
        <w:ind w:firstLine="640"/>
        <w:rPr>
          <w:color w:val="auto"/>
          <w:highlight w:val="none"/>
        </w:rPr>
      </w:pPr>
      <w:r>
        <w:rPr>
          <w:rFonts w:hint="eastAsia"/>
          <w:color w:val="auto"/>
          <w:highlight w:val="none"/>
        </w:rPr>
        <w:t>1.2.3“申请人”系指在已向代理公司递交遴选文件并登记备案的具有独立法人资格的意向合作单位。</w:t>
      </w:r>
    </w:p>
    <w:p>
      <w:pPr>
        <w:ind w:firstLine="640"/>
        <w:rPr>
          <w:color w:val="auto"/>
          <w:highlight w:val="none"/>
        </w:rPr>
      </w:pPr>
      <w:r>
        <w:rPr>
          <w:rFonts w:hint="eastAsia"/>
          <w:color w:val="auto"/>
          <w:highlight w:val="none"/>
        </w:rPr>
        <w:t>1.2.4“合作申请文件”是指意向合作单位为响应遴选文件的条件和要求，按规定格式编制的合作申请文件。</w:t>
      </w:r>
    </w:p>
    <w:p>
      <w:pPr>
        <w:ind w:firstLine="640"/>
        <w:rPr>
          <w:color w:val="auto"/>
          <w:highlight w:val="none"/>
        </w:rPr>
      </w:pPr>
      <w:r>
        <w:rPr>
          <w:rFonts w:hint="eastAsia"/>
          <w:color w:val="auto"/>
          <w:highlight w:val="none"/>
        </w:rPr>
        <w:t>1.2.5“拟合作对象”是指由遴选评审委员会（评审委员会）按照规定的程序和要求，对遴选申请人的合作申请文件进行评比，招募主体最终确定的遴选申请人。</w:t>
      </w:r>
    </w:p>
    <w:p>
      <w:pPr>
        <w:ind w:firstLine="640"/>
        <w:rPr>
          <w:color w:val="auto"/>
          <w:highlight w:val="none"/>
        </w:rPr>
      </w:pPr>
      <w:r>
        <w:rPr>
          <w:rFonts w:hint="eastAsia"/>
          <w:color w:val="auto"/>
          <w:highlight w:val="none"/>
        </w:rPr>
        <w:t>1.3 项目概况</w:t>
      </w:r>
    </w:p>
    <w:p>
      <w:pPr>
        <w:ind w:firstLine="640"/>
        <w:rPr>
          <w:color w:val="auto"/>
          <w:highlight w:val="none"/>
        </w:rPr>
      </w:pPr>
      <w:r>
        <w:rPr>
          <w:rFonts w:hint="eastAsia"/>
          <w:color w:val="auto"/>
          <w:highlight w:val="none"/>
        </w:rPr>
        <w:t>1.3.1 本项目招募主体：长沙市土地开发建设有限责任公司。</w:t>
      </w:r>
    </w:p>
    <w:p>
      <w:pPr>
        <w:ind w:firstLine="640"/>
        <w:rPr>
          <w:color w:val="auto"/>
          <w:highlight w:val="none"/>
        </w:rPr>
      </w:pPr>
      <w:r>
        <w:rPr>
          <w:rFonts w:hint="eastAsia"/>
          <w:color w:val="auto"/>
          <w:highlight w:val="none"/>
        </w:rPr>
        <w:t>1.3.2 本项目名称：见遴选申请须知前附表。</w:t>
      </w:r>
    </w:p>
    <w:p>
      <w:pPr>
        <w:ind w:firstLine="640"/>
        <w:rPr>
          <w:color w:val="auto"/>
          <w:highlight w:val="none"/>
        </w:rPr>
      </w:pPr>
      <w:r>
        <w:rPr>
          <w:rFonts w:hint="eastAsia"/>
          <w:color w:val="auto"/>
          <w:highlight w:val="none"/>
        </w:rPr>
        <w:t>1.3.3 本项目遴选代理机构：见遴选申请须知前附表。</w:t>
      </w:r>
    </w:p>
    <w:p>
      <w:pPr>
        <w:ind w:firstLine="640"/>
        <w:rPr>
          <w:color w:val="auto"/>
          <w:highlight w:val="none"/>
        </w:rPr>
      </w:pPr>
      <w:r>
        <w:rPr>
          <w:rFonts w:hint="eastAsia"/>
          <w:color w:val="auto"/>
          <w:highlight w:val="none"/>
        </w:rPr>
        <w:t>1.4 遴选申请人资格要求</w:t>
      </w:r>
    </w:p>
    <w:p>
      <w:pPr>
        <w:ind w:firstLine="640"/>
        <w:rPr>
          <w:color w:val="auto"/>
          <w:highlight w:val="none"/>
        </w:rPr>
      </w:pPr>
      <w:r>
        <w:rPr>
          <w:rFonts w:hint="eastAsia"/>
          <w:color w:val="auto"/>
          <w:highlight w:val="none"/>
        </w:rPr>
        <w:t>见遴选申请人须知前附表；</w:t>
      </w:r>
    </w:p>
    <w:p>
      <w:pPr>
        <w:ind w:firstLine="640"/>
        <w:rPr>
          <w:color w:val="auto"/>
          <w:highlight w:val="none"/>
        </w:rPr>
      </w:pPr>
      <w:r>
        <w:rPr>
          <w:rFonts w:hint="eastAsia"/>
          <w:color w:val="auto"/>
          <w:highlight w:val="none"/>
        </w:rPr>
        <w:t>1.5 遴选费用</w:t>
      </w:r>
    </w:p>
    <w:p>
      <w:pPr>
        <w:ind w:firstLine="640"/>
        <w:rPr>
          <w:color w:val="auto"/>
          <w:highlight w:val="none"/>
        </w:rPr>
      </w:pPr>
      <w:r>
        <w:rPr>
          <w:rFonts w:hint="eastAsia"/>
          <w:color w:val="auto"/>
          <w:highlight w:val="none"/>
        </w:rPr>
        <w:t>无论遴选活动的结果如何，遴选申请人将承担所有与准备和递交合作申请文件等有关费用。</w:t>
      </w:r>
    </w:p>
    <w:p>
      <w:pPr>
        <w:ind w:firstLine="640"/>
        <w:rPr>
          <w:color w:val="auto"/>
          <w:highlight w:val="none"/>
        </w:rPr>
      </w:pPr>
      <w:r>
        <w:rPr>
          <w:rFonts w:hint="eastAsia"/>
          <w:color w:val="auto"/>
          <w:highlight w:val="none"/>
        </w:rPr>
        <w:t>1.6 语言文字</w:t>
      </w:r>
    </w:p>
    <w:p>
      <w:pPr>
        <w:ind w:firstLine="640"/>
        <w:rPr>
          <w:color w:val="auto"/>
          <w:highlight w:val="none"/>
        </w:rPr>
      </w:pPr>
      <w:r>
        <w:rPr>
          <w:rFonts w:hint="eastAsia"/>
          <w:color w:val="auto"/>
          <w:highlight w:val="none"/>
        </w:rPr>
        <w:t>除专业术语外，所有合作申请文件均使用中文。必要时专业术语应附有中文注释。</w:t>
      </w:r>
    </w:p>
    <w:p>
      <w:pPr>
        <w:ind w:firstLine="640"/>
        <w:rPr>
          <w:color w:val="auto"/>
          <w:highlight w:val="none"/>
        </w:rPr>
      </w:pPr>
      <w:r>
        <w:rPr>
          <w:rFonts w:hint="eastAsia"/>
          <w:color w:val="auto"/>
          <w:highlight w:val="none"/>
        </w:rPr>
        <w:t>1.7 计量单位</w:t>
      </w:r>
    </w:p>
    <w:p>
      <w:pPr>
        <w:ind w:firstLine="640"/>
        <w:rPr>
          <w:color w:val="auto"/>
          <w:highlight w:val="none"/>
        </w:rPr>
      </w:pPr>
      <w:r>
        <w:rPr>
          <w:rFonts w:hint="eastAsia"/>
          <w:color w:val="auto"/>
          <w:highlight w:val="none"/>
        </w:rPr>
        <w:t>所有计量均采用中华人民共和国法定计量单位。</w:t>
      </w:r>
    </w:p>
    <w:p>
      <w:pPr>
        <w:ind w:firstLine="640"/>
        <w:rPr>
          <w:color w:val="auto"/>
          <w:highlight w:val="none"/>
        </w:rPr>
      </w:pPr>
      <w:r>
        <w:rPr>
          <w:rFonts w:hint="eastAsia"/>
          <w:color w:val="auto"/>
          <w:highlight w:val="none"/>
        </w:rPr>
        <w:t>1.8 偏离</w:t>
      </w:r>
    </w:p>
    <w:p>
      <w:pPr>
        <w:ind w:firstLine="640"/>
        <w:rPr>
          <w:color w:val="auto"/>
          <w:highlight w:val="none"/>
        </w:rPr>
      </w:pPr>
      <w:r>
        <w:rPr>
          <w:rFonts w:hint="eastAsia"/>
          <w:color w:val="auto"/>
          <w:highlight w:val="none"/>
        </w:rPr>
        <w:t>见遴选申请人须知前附表。</w:t>
      </w:r>
    </w:p>
    <w:p>
      <w:pPr>
        <w:ind w:firstLine="640"/>
        <w:rPr>
          <w:color w:val="auto"/>
          <w:highlight w:val="none"/>
        </w:rPr>
      </w:pPr>
      <w:r>
        <w:rPr>
          <w:rFonts w:hint="eastAsia"/>
          <w:color w:val="auto"/>
          <w:highlight w:val="none"/>
        </w:rPr>
        <w:t>1.9 参加遴选的单位应仔细阅读遴选文件，一旦参与遴选，均认为响应该遴选文件的有关要求。</w:t>
      </w:r>
    </w:p>
    <w:p>
      <w:pPr>
        <w:ind w:firstLine="640"/>
        <w:rPr>
          <w:color w:val="auto"/>
          <w:highlight w:val="none"/>
        </w:rPr>
      </w:pPr>
      <w:r>
        <w:rPr>
          <w:rFonts w:hint="eastAsia"/>
          <w:color w:val="auto"/>
          <w:highlight w:val="none"/>
        </w:rPr>
        <w:t>2.基本要求</w:t>
      </w:r>
    </w:p>
    <w:p>
      <w:pPr>
        <w:ind w:firstLine="640"/>
        <w:rPr>
          <w:color w:val="auto"/>
          <w:highlight w:val="none"/>
        </w:rPr>
      </w:pPr>
      <w:r>
        <w:rPr>
          <w:rFonts w:hint="eastAsia"/>
          <w:color w:val="auto"/>
          <w:highlight w:val="none"/>
        </w:rPr>
        <w:t>2.1 遴选内容</w:t>
      </w:r>
    </w:p>
    <w:p>
      <w:pPr>
        <w:ind w:firstLine="640"/>
        <w:rPr>
          <w:color w:val="auto"/>
          <w:highlight w:val="none"/>
        </w:rPr>
      </w:pPr>
      <w:r>
        <w:rPr>
          <w:rFonts w:hint="eastAsia"/>
          <w:color w:val="auto"/>
          <w:highlight w:val="none"/>
        </w:rPr>
        <w:t>长投新成公寓运营合作单位。</w:t>
      </w:r>
    </w:p>
    <w:p>
      <w:pPr>
        <w:ind w:firstLine="640"/>
        <w:rPr>
          <w:color w:val="auto"/>
          <w:highlight w:val="none"/>
        </w:rPr>
      </w:pPr>
      <w:r>
        <w:rPr>
          <w:rFonts w:hint="eastAsia"/>
          <w:color w:val="auto"/>
          <w:highlight w:val="none"/>
        </w:rPr>
        <w:t>2.2 相关文件学习</w:t>
      </w:r>
    </w:p>
    <w:p>
      <w:pPr>
        <w:ind w:firstLine="640"/>
        <w:rPr>
          <w:color w:val="auto"/>
          <w:highlight w:val="none"/>
        </w:rPr>
      </w:pPr>
      <w:r>
        <w:rPr>
          <w:rFonts w:hint="eastAsia"/>
          <w:color w:val="auto"/>
          <w:highlight w:val="none"/>
        </w:rPr>
        <w:t>要求各单位应认真学习等相关法律法规及有关政策。</w:t>
      </w:r>
    </w:p>
    <w:p>
      <w:pPr>
        <w:ind w:firstLine="640"/>
        <w:rPr>
          <w:color w:val="auto"/>
          <w:highlight w:val="none"/>
        </w:rPr>
      </w:pPr>
      <w:r>
        <w:rPr>
          <w:rFonts w:hint="eastAsia"/>
          <w:color w:val="auto"/>
          <w:highlight w:val="none"/>
        </w:rPr>
        <w:t>2.3 遴选要求</w:t>
      </w:r>
    </w:p>
    <w:p>
      <w:pPr>
        <w:ind w:firstLine="640"/>
        <w:rPr>
          <w:color w:val="auto"/>
          <w:highlight w:val="none"/>
        </w:rPr>
      </w:pPr>
      <w:r>
        <w:rPr>
          <w:rFonts w:hint="eastAsia"/>
          <w:color w:val="auto"/>
          <w:highlight w:val="none"/>
        </w:rPr>
        <w:t>2.3.1 遴选申请人应承诺按照国家及有关法律法规及政策规范操作，杜绝违法违规事件。</w:t>
      </w:r>
    </w:p>
    <w:p>
      <w:pPr>
        <w:ind w:firstLine="640"/>
        <w:rPr>
          <w:color w:val="auto"/>
          <w:highlight w:val="none"/>
        </w:rPr>
      </w:pPr>
      <w:r>
        <w:rPr>
          <w:rFonts w:hint="eastAsia"/>
          <w:color w:val="auto"/>
          <w:highlight w:val="none"/>
        </w:rPr>
        <w:t>2.3.2 遴选申请人不得存在下列情形之一：</w:t>
      </w:r>
    </w:p>
    <w:p>
      <w:pPr>
        <w:ind w:firstLine="640"/>
        <w:rPr>
          <w:color w:val="auto"/>
          <w:highlight w:val="none"/>
        </w:rPr>
      </w:pPr>
      <w:r>
        <w:rPr>
          <w:rFonts w:hint="eastAsia"/>
          <w:color w:val="auto"/>
          <w:highlight w:val="none"/>
        </w:rPr>
        <w:t>（1）为申请人不具有独立法人资格的附属机构（单位）；</w:t>
      </w:r>
    </w:p>
    <w:p>
      <w:pPr>
        <w:ind w:firstLine="640"/>
        <w:rPr>
          <w:color w:val="auto"/>
          <w:highlight w:val="none"/>
        </w:rPr>
      </w:pPr>
      <w:r>
        <w:rPr>
          <w:rFonts w:hint="eastAsia"/>
          <w:color w:val="auto"/>
          <w:highlight w:val="none"/>
        </w:rPr>
        <w:t>（2）与招募主体存在利害关系可能影响遴选公正性的法人、其他组织或者个人；</w:t>
      </w:r>
    </w:p>
    <w:p>
      <w:pPr>
        <w:ind w:firstLine="640"/>
        <w:rPr>
          <w:color w:val="auto"/>
          <w:highlight w:val="none"/>
        </w:rPr>
      </w:pPr>
      <w:r>
        <w:rPr>
          <w:rFonts w:hint="eastAsia"/>
          <w:color w:val="auto"/>
          <w:highlight w:val="none"/>
        </w:rPr>
        <w:t>（3）被责令停业的；</w:t>
      </w:r>
    </w:p>
    <w:p>
      <w:pPr>
        <w:ind w:firstLine="640"/>
        <w:rPr>
          <w:color w:val="auto"/>
          <w:highlight w:val="none"/>
        </w:rPr>
      </w:pPr>
      <w:r>
        <w:rPr>
          <w:rFonts w:hint="eastAsia"/>
          <w:color w:val="auto"/>
          <w:highlight w:val="none"/>
        </w:rPr>
        <w:t>（4）财产被接管或冻结的；</w:t>
      </w:r>
    </w:p>
    <w:p>
      <w:pPr>
        <w:ind w:firstLine="640"/>
        <w:rPr>
          <w:color w:val="auto"/>
          <w:highlight w:val="none"/>
        </w:rPr>
      </w:pPr>
      <w:r>
        <w:rPr>
          <w:rFonts w:hint="eastAsia"/>
          <w:color w:val="auto"/>
          <w:highlight w:val="none"/>
        </w:rPr>
        <w:t>3.遴选文件</w:t>
      </w:r>
    </w:p>
    <w:p>
      <w:pPr>
        <w:ind w:firstLine="640"/>
        <w:rPr>
          <w:color w:val="auto"/>
          <w:highlight w:val="none"/>
        </w:rPr>
      </w:pPr>
      <w:r>
        <w:rPr>
          <w:rFonts w:hint="eastAsia"/>
          <w:color w:val="auto"/>
          <w:highlight w:val="none"/>
        </w:rPr>
        <w:t>3.1 遴选文件的构成：见遴选申请人须知前附表，遴选申请人应详细阅读遴选文件的全部内容。如果遴选申请人没有按照遴选文件要求提交全部资料或者合作申请文件没有对遴选文件在各方面的要求都做出实质性响应，合作申请文件将被拒绝。</w:t>
      </w:r>
    </w:p>
    <w:p>
      <w:pPr>
        <w:ind w:firstLine="640"/>
        <w:rPr>
          <w:color w:val="auto"/>
          <w:highlight w:val="none"/>
        </w:rPr>
      </w:pPr>
      <w:r>
        <w:rPr>
          <w:rFonts w:hint="eastAsia"/>
          <w:color w:val="auto"/>
          <w:highlight w:val="none"/>
        </w:rPr>
        <w:t>3.2 遴选文件的澄清</w:t>
      </w:r>
    </w:p>
    <w:p>
      <w:pPr>
        <w:ind w:firstLine="640"/>
        <w:rPr>
          <w:color w:val="auto"/>
          <w:highlight w:val="none"/>
        </w:rPr>
      </w:pPr>
      <w:r>
        <w:rPr>
          <w:rFonts w:hint="eastAsia"/>
          <w:color w:val="auto"/>
          <w:highlight w:val="none"/>
        </w:rPr>
        <w:t>3.2.1 任何要求对遴选文件进行澄清的遴选申请人，请在遴选申请人须知前附表规定的时间前以书面形式（包括信函、电报、传真等可以有形表现所载内容的形式，下同），要求招募主体对遴选文件予以澄清。否则由此引起的后果由遴选申请人自己承担，招募主体不承担任何责任。如规定时间内招募主体未收到任何要求澄清的文件，则视为各遴选申请人对本遴选文件均无异议。</w:t>
      </w:r>
    </w:p>
    <w:p>
      <w:pPr>
        <w:ind w:firstLine="640"/>
        <w:rPr>
          <w:color w:val="auto"/>
          <w:highlight w:val="none"/>
        </w:rPr>
      </w:pPr>
      <w:r>
        <w:rPr>
          <w:rFonts w:hint="eastAsia"/>
          <w:color w:val="auto"/>
          <w:highlight w:val="none"/>
        </w:rPr>
        <w:t>3.2.2 遴选文件的澄清将在遴选申请人须知前附表规定的时间内以书面形式发给所有取得遴选文件的遴选申请人。</w:t>
      </w:r>
    </w:p>
    <w:p>
      <w:pPr>
        <w:ind w:firstLine="640"/>
        <w:rPr>
          <w:color w:val="auto"/>
          <w:highlight w:val="none"/>
        </w:rPr>
      </w:pPr>
      <w:r>
        <w:rPr>
          <w:rFonts w:hint="eastAsia"/>
          <w:color w:val="auto"/>
          <w:highlight w:val="none"/>
        </w:rPr>
        <w:t>3.2.3 遴选申请人在收到澄清后，应在遴选申请人须知前附表规定的时间内以书面形式通知招募主体，确认已收到该澄清。</w:t>
      </w:r>
    </w:p>
    <w:p>
      <w:pPr>
        <w:ind w:firstLine="640"/>
        <w:rPr>
          <w:color w:val="auto"/>
          <w:highlight w:val="none"/>
        </w:rPr>
      </w:pPr>
      <w:r>
        <w:rPr>
          <w:rFonts w:hint="eastAsia"/>
          <w:color w:val="auto"/>
          <w:highlight w:val="none"/>
        </w:rPr>
        <w:t>3.3 遴选文件的修改</w:t>
      </w:r>
    </w:p>
    <w:p>
      <w:pPr>
        <w:ind w:firstLine="640"/>
        <w:rPr>
          <w:color w:val="auto"/>
          <w:highlight w:val="none"/>
        </w:rPr>
      </w:pPr>
      <w:r>
        <w:rPr>
          <w:rFonts w:hint="eastAsia"/>
          <w:color w:val="auto"/>
          <w:highlight w:val="none"/>
        </w:rPr>
        <w:t>3.3.1 在遴选文件要求提交合作申请文件的截止时间前，招募主体可视项目的具体情况延长合作申请文件递交截止时间和遴选会议开始时间。招募主体可对遴选文件用补充文件的方式进行修改。在遴选文件要求提交合作申请文件截止时间3日前，招募主体可对已发出的遴选文件进行必要的澄清或者修改，不足3日的将延长至3日，该澄清或者修改的内容作为遴选文件的组成部分。</w:t>
      </w:r>
    </w:p>
    <w:p>
      <w:pPr>
        <w:ind w:firstLine="640"/>
        <w:rPr>
          <w:color w:val="auto"/>
          <w:highlight w:val="none"/>
        </w:rPr>
      </w:pPr>
      <w:r>
        <w:rPr>
          <w:rFonts w:hint="eastAsia"/>
          <w:color w:val="auto"/>
          <w:highlight w:val="none"/>
        </w:rPr>
        <w:t>3.3.2 对遴选文件的修改，将以信函、电子邮件或书面形式通知已领取遴选文件的每家遴选申请人。</w:t>
      </w:r>
    </w:p>
    <w:p>
      <w:pPr>
        <w:ind w:firstLine="640"/>
        <w:rPr>
          <w:color w:val="auto"/>
          <w:highlight w:val="none"/>
        </w:rPr>
      </w:pPr>
      <w:r>
        <w:rPr>
          <w:rFonts w:hint="eastAsia"/>
          <w:color w:val="auto"/>
          <w:highlight w:val="none"/>
        </w:rPr>
        <w:t>3.3.3 遴选申请人收到修改内容后，应在遴选申请人须知前附表规定的时间内以书面形式通知招募主体，确认已收到该修改。</w:t>
      </w:r>
    </w:p>
    <w:p>
      <w:pPr>
        <w:ind w:firstLine="640"/>
        <w:rPr>
          <w:color w:val="auto"/>
          <w:highlight w:val="none"/>
        </w:rPr>
      </w:pPr>
      <w:r>
        <w:rPr>
          <w:rFonts w:hint="eastAsia"/>
          <w:color w:val="auto"/>
          <w:highlight w:val="none"/>
        </w:rPr>
        <w:t>3.3.4 补充文件将作为遴选文件的组成部分，对所有遴选申请人均有约束力。</w:t>
      </w:r>
    </w:p>
    <w:p>
      <w:pPr>
        <w:ind w:firstLine="640"/>
        <w:rPr>
          <w:color w:val="auto"/>
          <w:highlight w:val="none"/>
        </w:rPr>
      </w:pPr>
      <w:r>
        <w:rPr>
          <w:rFonts w:hint="eastAsia"/>
          <w:color w:val="auto"/>
          <w:highlight w:val="none"/>
        </w:rPr>
        <w:t>4.合作申请文件</w:t>
      </w:r>
    </w:p>
    <w:p>
      <w:pPr>
        <w:ind w:firstLine="640"/>
        <w:rPr>
          <w:color w:val="auto"/>
          <w:highlight w:val="none"/>
        </w:rPr>
      </w:pPr>
      <w:r>
        <w:rPr>
          <w:rFonts w:hint="eastAsia"/>
          <w:color w:val="auto"/>
          <w:highlight w:val="none"/>
        </w:rPr>
        <w:t>4.1 合作申请文件的组成：见遴选申请人须知前附表。</w:t>
      </w:r>
    </w:p>
    <w:p>
      <w:pPr>
        <w:ind w:firstLine="640"/>
        <w:rPr>
          <w:color w:val="auto"/>
          <w:highlight w:val="none"/>
        </w:rPr>
      </w:pPr>
      <w:r>
        <w:rPr>
          <w:rFonts w:hint="eastAsia"/>
          <w:color w:val="auto"/>
          <w:highlight w:val="none"/>
        </w:rPr>
        <w:t>4.2 遴选有效期：见遴选申请人须知前附表。</w:t>
      </w:r>
    </w:p>
    <w:p>
      <w:pPr>
        <w:ind w:firstLine="640"/>
        <w:rPr>
          <w:color w:val="auto"/>
          <w:highlight w:val="none"/>
        </w:rPr>
      </w:pPr>
      <w:r>
        <w:rPr>
          <w:rFonts w:hint="eastAsia"/>
          <w:color w:val="auto"/>
          <w:highlight w:val="none"/>
        </w:rPr>
        <w:t>4.3 合作申请文件的编制要求</w:t>
      </w:r>
    </w:p>
    <w:p>
      <w:pPr>
        <w:ind w:firstLine="640"/>
        <w:rPr>
          <w:color w:val="auto"/>
          <w:highlight w:val="none"/>
        </w:rPr>
      </w:pPr>
      <w:r>
        <w:rPr>
          <w:rFonts w:hint="eastAsia"/>
          <w:color w:val="auto"/>
          <w:highlight w:val="none"/>
        </w:rPr>
        <w:t>全文采用打印机彩色打印或用不褪色墨水书写；页码格式应采用阿拉伯数字格式，设在页脚对中位置，页码应当连续，不得分章或节单独编码，不得出现空白页；</w:t>
      </w:r>
    </w:p>
    <w:p>
      <w:pPr>
        <w:ind w:firstLine="640"/>
        <w:rPr>
          <w:color w:val="auto"/>
          <w:highlight w:val="none"/>
        </w:rPr>
      </w:pPr>
      <w:r>
        <w:rPr>
          <w:rFonts w:hint="eastAsia"/>
          <w:color w:val="auto"/>
          <w:highlight w:val="none"/>
        </w:rPr>
        <w:t>装订方式：采用固定胶装方式装订，装订应牢固、不易拆散和换页，不得采用活页装订。</w:t>
      </w:r>
    </w:p>
    <w:p>
      <w:pPr>
        <w:ind w:firstLine="640"/>
        <w:rPr>
          <w:color w:val="auto"/>
          <w:highlight w:val="none"/>
        </w:rPr>
      </w:pPr>
      <w:r>
        <w:rPr>
          <w:rFonts w:hint="eastAsia"/>
          <w:color w:val="auto"/>
          <w:highlight w:val="none"/>
        </w:rPr>
        <w:t>4.4. 为倡导绿色环保，合作申请文件建议双面打印。</w:t>
      </w:r>
    </w:p>
    <w:p>
      <w:pPr>
        <w:ind w:firstLine="640"/>
        <w:rPr>
          <w:color w:val="auto"/>
          <w:highlight w:val="none"/>
        </w:rPr>
      </w:pPr>
      <w:r>
        <w:rPr>
          <w:rFonts w:hint="eastAsia"/>
          <w:color w:val="auto"/>
          <w:highlight w:val="none"/>
        </w:rPr>
        <w:t>5. 合作申请文件的递交</w:t>
      </w:r>
    </w:p>
    <w:p>
      <w:pPr>
        <w:ind w:firstLine="640"/>
        <w:rPr>
          <w:color w:val="auto"/>
          <w:highlight w:val="none"/>
        </w:rPr>
      </w:pPr>
      <w:r>
        <w:rPr>
          <w:rFonts w:hint="eastAsia"/>
          <w:color w:val="auto"/>
          <w:highlight w:val="none"/>
        </w:rPr>
        <w:t>5.1 合作申请文件的密封和标记</w:t>
      </w:r>
    </w:p>
    <w:p>
      <w:pPr>
        <w:ind w:firstLine="640"/>
        <w:rPr>
          <w:color w:val="auto"/>
          <w:highlight w:val="none"/>
        </w:rPr>
      </w:pPr>
      <w:r>
        <w:rPr>
          <w:rFonts w:hint="eastAsia"/>
          <w:color w:val="auto"/>
          <w:highlight w:val="none"/>
        </w:rPr>
        <w:t>5.1.1 合作申请文件、电子版应分开封装，加贴封条，并在封套的封口处加盖遴选申请人公章。</w:t>
      </w:r>
    </w:p>
    <w:p>
      <w:pPr>
        <w:ind w:firstLine="640"/>
        <w:rPr>
          <w:color w:val="auto"/>
          <w:highlight w:val="none"/>
        </w:rPr>
      </w:pPr>
      <w:r>
        <w:rPr>
          <w:rFonts w:hint="eastAsia"/>
          <w:color w:val="auto"/>
          <w:highlight w:val="none"/>
        </w:rPr>
        <w:t>5.1.2 不符合本章第 5.1.1 项要求的合作申请文件，招募主体不予受理。</w:t>
      </w:r>
    </w:p>
    <w:p>
      <w:pPr>
        <w:ind w:firstLine="640"/>
        <w:rPr>
          <w:color w:val="auto"/>
          <w:highlight w:val="none"/>
        </w:rPr>
      </w:pPr>
      <w:r>
        <w:rPr>
          <w:rFonts w:hint="eastAsia"/>
          <w:color w:val="auto"/>
          <w:highlight w:val="none"/>
        </w:rPr>
        <w:t>5.2 合作申请文件递交</w:t>
      </w:r>
    </w:p>
    <w:p>
      <w:pPr>
        <w:ind w:firstLine="640"/>
        <w:rPr>
          <w:color w:val="auto"/>
          <w:highlight w:val="none"/>
        </w:rPr>
      </w:pPr>
      <w:r>
        <w:rPr>
          <w:rFonts w:hint="eastAsia"/>
          <w:color w:val="auto"/>
          <w:highlight w:val="none"/>
        </w:rPr>
        <w:t>5.2.1 递交合作申请文件的截止时间见遴选申请人须知前附表。</w:t>
      </w:r>
    </w:p>
    <w:p>
      <w:pPr>
        <w:ind w:firstLine="640"/>
        <w:rPr>
          <w:color w:val="auto"/>
          <w:highlight w:val="none"/>
        </w:rPr>
      </w:pPr>
      <w:r>
        <w:rPr>
          <w:rFonts w:hint="eastAsia"/>
          <w:color w:val="auto"/>
          <w:highlight w:val="none"/>
        </w:rPr>
        <w:t>5.2.2 递交合作申请文件的地点见遴选申请人须知前附表。</w:t>
      </w:r>
    </w:p>
    <w:p>
      <w:pPr>
        <w:ind w:firstLine="640"/>
        <w:rPr>
          <w:color w:val="auto"/>
          <w:highlight w:val="none"/>
        </w:rPr>
      </w:pPr>
      <w:r>
        <w:rPr>
          <w:rFonts w:hint="eastAsia"/>
          <w:color w:val="auto"/>
          <w:highlight w:val="none"/>
        </w:rPr>
        <w:t>5.2.3 除遴选申请人须知前附表另有规定外，遴选申请人所递交的合作申请文件不予退还。</w:t>
      </w:r>
    </w:p>
    <w:p>
      <w:pPr>
        <w:ind w:firstLine="640"/>
        <w:rPr>
          <w:color w:val="auto"/>
          <w:highlight w:val="none"/>
        </w:rPr>
      </w:pPr>
      <w:r>
        <w:rPr>
          <w:rFonts w:hint="eastAsia"/>
          <w:color w:val="auto"/>
          <w:highlight w:val="none"/>
        </w:rPr>
        <w:t>5.2.4 逾期送达的或者未送达指定地点的合作申请文件，招募主体不予受理。</w:t>
      </w:r>
    </w:p>
    <w:p>
      <w:pPr>
        <w:ind w:firstLine="640"/>
        <w:rPr>
          <w:color w:val="auto"/>
          <w:highlight w:val="none"/>
        </w:rPr>
      </w:pPr>
      <w:r>
        <w:rPr>
          <w:rFonts w:hint="eastAsia"/>
          <w:color w:val="auto"/>
          <w:highlight w:val="none"/>
        </w:rPr>
        <w:t>5.3 合作申请文件的补充、修改与撤回</w:t>
      </w:r>
    </w:p>
    <w:p>
      <w:pPr>
        <w:ind w:firstLine="640"/>
        <w:rPr>
          <w:color w:val="auto"/>
          <w:highlight w:val="none"/>
        </w:rPr>
      </w:pPr>
      <w:r>
        <w:rPr>
          <w:rFonts w:hint="eastAsia"/>
          <w:color w:val="auto"/>
          <w:highlight w:val="none"/>
        </w:rPr>
        <w:t>5.3.1 遴选申请人在遴选文件要求提交合作申请文件的截止时间前，可以补充、修改或撤回已提交的合作申请文件，并书面通知遴选申请人。补充、修改的内容为合作申请文件的组成部分。</w:t>
      </w:r>
    </w:p>
    <w:p>
      <w:pPr>
        <w:ind w:firstLine="640"/>
        <w:rPr>
          <w:color w:val="auto"/>
          <w:highlight w:val="none"/>
        </w:rPr>
      </w:pPr>
      <w:r>
        <w:rPr>
          <w:rFonts w:hint="eastAsia"/>
          <w:color w:val="auto"/>
          <w:highlight w:val="none"/>
        </w:rPr>
        <w:t>5.3.2 遴选申请人对合作申请文件补充、修改的内容应按上述规定分别进行准备、密封、标注和递送。</w:t>
      </w:r>
    </w:p>
    <w:p>
      <w:pPr>
        <w:ind w:firstLine="640"/>
        <w:rPr>
          <w:color w:val="auto"/>
          <w:highlight w:val="none"/>
        </w:rPr>
      </w:pPr>
      <w:r>
        <w:rPr>
          <w:rFonts w:hint="eastAsia"/>
          <w:color w:val="auto"/>
          <w:highlight w:val="none"/>
        </w:rPr>
        <w:t>5.3.3 合作申请文件递交截止时间后不得修改已递交的合作申请文件。</w:t>
      </w:r>
    </w:p>
    <w:p>
      <w:pPr>
        <w:ind w:firstLine="640"/>
        <w:rPr>
          <w:color w:val="auto"/>
          <w:highlight w:val="none"/>
        </w:rPr>
      </w:pPr>
      <w:r>
        <w:rPr>
          <w:rFonts w:hint="eastAsia"/>
          <w:color w:val="auto"/>
          <w:highlight w:val="none"/>
        </w:rPr>
        <w:t>5.3.4 遴选申请人不得在遴选开始后，遴选有效期满前撤回已递交的合作申请文件。</w:t>
      </w:r>
    </w:p>
    <w:p>
      <w:pPr>
        <w:ind w:firstLine="640"/>
        <w:rPr>
          <w:color w:val="auto"/>
          <w:highlight w:val="none"/>
        </w:rPr>
      </w:pPr>
      <w:r>
        <w:rPr>
          <w:rFonts w:hint="eastAsia"/>
          <w:color w:val="auto"/>
          <w:highlight w:val="none"/>
        </w:rPr>
        <w:t>5.3.5 合作申请文件若电子版与纸质版不一致时以纸质版为准。</w:t>
      </w:r>
    </w:p>
    <w:p>
      <w:pPr>
        <w:ind w:firstLine="640"/>
        <w:rPr>
          <w:color w:val="auto"/>
          <w:highlight w:val="none"/>
        </w:rPr>
      </w:pPr>
      <w:r>
        <w:rPr>
          <w:rFonts w:hint="eastAsia"/>
          <w:color w:val="auto"/>
          <w:highlight w:val="none"/>
        </w:rPr>
        <w:t>6.遴选会议</w:t>
      </w:r>
    </w:p>
    <w:p>
      <w:pPr>
        <w:ind w:firstLine="640"/>
        <w:rPr>
          <w:color w:val="auto"/>
          <w:highlight w:val="none"/>
        </w:rPr>
      </w:pPr>
      <w:r>
        <w:rPr>
          <w:rFonts w:hint="eastAsia"/>
          <w:color w:val="auto"/>
          <w:highlight w:val="none"/>
        </w:rPr>
        <w:t>6.1 招募主体应按遴选申请人前附表规定的时间和地点召开遴选会议。</w:t>
      </w:r>
    </w:p>
    <w:p>
      <w:pPr>
        <w:ind w:firstLine="640"/>
        <w:rPr>
          <w:color w:val="auto"/>
          <w:highlight w:val="none"/>
        </w:rPr>
      </w:pPr>
      <w:r>
        <w:rPr>
          <w:rFonts w:hint="eastAsia"/>
          <w:color w:val="auto"/>
          <w:highlight w:val="none"/>
        </w:rPr>
        <w:t>6.2 合作申请文件有下列情形之一的，招募主体不予受理：</w:t>
      </w:r>
    </w:p>
    <w:p>
      <w:pPr>
        <w:ind w:firstLine="640"/>
        <w:rPr>
          <w:color w:val="auto"/>
          <w:highlight w:val="none"/>
        </w:rPr>
      </w:pPr>
      <w:r>
        <w:rPr>
          <w:rFonts w:hint="eastAsia"/>
          <w:color w:val="auto"/>
          <w:highlight w:val="none"/>
        </w:rPr>
        <w:t>（1）逾期送达或未送达指定地点的；</w:t>
      </w:r>
    </w:p>
    <w:p>
      <w:pPr>
        <w:ind w:firstLine="640"/>
        <w:rPr>
          <w:color w:val="auto"/>
          <w:highlight w:val="none"/>
        </w:rPr>
      </w:pPr>
      <w:r>
        <w:rPr>
          <w:rFonts w:hint="eastAsia"/>
          <w:color w:val="auto"/>
          <w:highlight w:val="none"/>
        </w:rPr>
        <w:t>（2）未按遴选文件要求密封的。</w:t>
      </w:r>
    </w:p>
    <w:p>
      <w:pPr>
        <w:ind w:firstLine="640"/>
        <w:rPr>
          <w:color w:val="auto"/>
          <w:highlight w:val="none"/>
        </w:rPr>
      </w:pPr>
      <w:r>
        <w:rPr>
          <w:rFonts w:hint="eastAsia"/>
          <w:color w:val="auto"/>
          <w:highlight w:val="none"/>
        </w:rPr>
        <w:t>6.3 遴选会议由遴选代理机构负责主持。</w:t>
      </w:r>
    </w:p>
    <w:p>
      <w:pPr>
        <w:ind w:firstLine="640"/>
        <w:rPr>
          <w:color w:val="auto"/>
          <w:highlight w:val="none"/>
        </w:rPr>
      </w:pPr>
      <w:r>
        <w:rPr>
          <w:rFonts w:hint="eastAsia"/>
          <w:color w:val="auto"/>
          <w:highlight w:val="none"/>
        </w:rPr>
        <w:t>7.遴选</w:t>
      </w:r>
    </w:p>
    <w:p>
      <w:pPr>
        <w:ind w:firstLine="640"/>
        <w:rPr>
          <w:color w:val="auto"/>
          <w:highlight w:val="none"/>
        </w:rPr>
      </w:pPr>
      <w:r>
        <w:rPr>
          <w:rFonts w:hint="eastAsia"/>
          <w:color w:val="auto"/>
          <w:highlight w:val="none"/>
        </w:rPr>
        <w:t>7.1 遴选评审委员会</w:t>
      </w:r>
    </w:p>
    <w:p>
      <w:pPr>
        <w:ind w:firstLine="640"/>
        <w:rPr>
          <w:color w:val="auto"/>
          <w:highlight w:val="none"/>
        </w:rPr>
      </w:pPr>
      <w:r>
        <w:rPr>
          <w:rFonts w:hint="eastAsia"/>
          <w:color w:val="auto"/>
          <w:highlight w:val="none"/>
        </w:rPr>
        <w:t>遴选工作由代理机构组建的遴选评审委员会负责，成员人数以及专家的确定方式见遴选申请人须知前附表。</w:t>
      </w:r>
    </w:p>
    <w:p>
      <w:pPr>
        <w:ind w:firstLine="640"/>
        <w:rPr>
          <w:color w:val="auto"/>
          <w:highlight w:val="none"/>
        </w:rPr>
      </w:pPr>
      <w:r>
        <w:rPr>
          <w:rFonts w:hint="eastAsia"/>
          <w:color w:val="auto"/>
          <w:highlight w:val="none"/>
        </w:rPr>
        <w:t>7.2 遴选原则</w:t>
      </w:r>
    </w:p>
    <w:p>
      <w:pPr>
        <w:ind w:firstLine="640"/>
        <w:rPr>
          <w:color w:val="auto"/>
          <w:highlight w:val="none"/>
        </w:rPr>
      </w:pPr>
      <w:r>
        <w:rPr>
          <w:rFonts w:hint="eastAsia"/>
          <w:color w:val="auto"/>
          <w:highlight w:val="none"/>
        </w:rPr>
        <w:t>公开、公平、公正、科学择优。</w:t>
      </w:r>
    </w:p>
    <w:p>
      <w:pPr>
        <w:ind w:firstLine="640"/>
        <w:rPr>
          <w:color w:val="auto"/>
          <w:highlight w:val="none"/>
        </w:rPr>
      </w:pPr>
      <w:r>
        <w:rPr>
          <w:rFonts w:hint="eastAsia"/>
          <w:color w:val="auto"/>
          <w:highlight w:val="none"/>
        </w:rPr>
        <w:t>7.3 合作申请文件有下列情况之一者，其遴选将被否决：</w:t>
      </w:r>
    </w:p>
    <w:p>
      <w:pPr>
        <w:ind w:firstLine="640"/>
        <w:rPr>
          <w:color w:val="auto"/>
          <w:highlight w:val="none"/>
        </w:rPr>
      </w:pPr>
      <w:r>
        <w:rPr>
          <w:rFonts w:hint="eastAsia"/>
          <w:color w:val="auto"/>
          <w:highlight w:val="none"/>
        </w:rPr>
        <w:t>（1）合作申请文件未按照遴选文件的要求加盖遴选申请人公章及未经法定代表人或授权委托人签字的；</w:t>
      </w:r>
    </w:p>
    <w:p>
      <w:pPr>
        <w:ind w:firstLine="640"/>
        <w:rPr>
          <w:color w:val="auto"/>
          <w:highlight w:val="none"/>
        </w:rPr>
      </w:pPr>
      <w:r>
        <w:rPr>
          <w:rFonts w:hint="eastAsia"/>
          <w:color w:val="auto"/>
          <w:highlight w:val="none"/>
        </w:rPr>
        <w:t>（2）相关证明材料不合格的；</w:t>
      </w:r>
    </w:p>
    <w:p>
      <w:pPr>
        <w:ind w:firstLine="640"/>
        <w:rPr>
          <w:color w:val="auto"/>
          <w:highlight w:val="none"/>
        </w:rPr>
      </w:pPr>
      <w:r>
        <w:rPr>
          <w:rFonts w:hint="eastAsia"/>
          <w:color w:val="auto"/>
          <w:highlight w:val="none"/>
        </w:rPr>
        <w:t>（3）合作申请文件有明显不符合遴选文件其他要求和有关法律法规的；</w:t>
      </w:r>
    </w:p>
    <w:p>
      <w:pPr>
        <w:ind w:firstLine="640"/>
        <w:rPr>
          <w:color w:val="auto"/>
          <w:highlight w:val="none"/>
        </w:rPr>
      </w:pPr>
      <w:r>
        <w:rPr>
          <w:rFonts w:hint="eastAsia"/>
          <w:color w:val="auto"/>
          <w:highlight w:val="none"/>
        </w:rPr>
        <w:t>（4）合作申请文件中附有招募主体不能接受的条件的。</w:t>
      </w:r>
    </w:p>
    <w:p>
      <w:pPr>
        <w:ind w:firstLine="640"/>
        <w:rPr>
          <w:color w:val="auto"/>
          <w:highlight w:val="none"/>
        </w:rPr>
      </w:pPr>
      <w:r>
        <w:rPr>
          <w:rFonts w:hint="eastAsia"/>
          <w:color w:val="auto"/>
          <w:highlight w:val="none"/>
        </w:rPr>
        <w:t>7.4 遴选</w:t>
      </w:r>
    </w:p>
    <w:p>
      <w:pPr>
        <w:ind w:firstLine="640"/>
        <w:rPr>
          <w:color w:val="auto"/>
          <w:highlight w:val="none"/>
        </w:rPr>
      </w:pPr>
      <w:r>
        <w:rPr>
          <w:rFonts w:hint="eastAsia"/>
          <w:color w:val="auto"/>
          <w:highlight w:val="none"/>
        </w:rPr>
        <w:t>遴选评审委员会按照第三章“遴选办法”规定的方法、遴选因素、标准和程序对合作申请文件进行遴选。</w:t>
      </w:r>
    </w:p>
    <w:p>
      <w:pPr>
        <w:numPr>
          <w:ilvl w:val="0"/>
          <w:numId w:val="3"/>
        </w:numPr>
        <w:ind w:firstLine="640"/>
        <w:rPr>
          <w:color w:val="auto"/>
          <w:highlight w:val="none"/>
        </w:rPr>
      </w:pPr>
      <w:r>
        <w:rPr>
          <w:rFonts w:hint="eastAsia"/>
          <w:color w:val="auto"/>
          <w:highlight w:val="none"/>
        </w:rPr>
        <w:t>定选</w:t>
      </w:r>
    </w:p>
    <w:p>
      <w:pPr>
        <w:ind w:firstLine="640"/>
        <w:rPr>
          <w:color w:val="auto"/>
          <w:highlight w:val="none"/>
        </w:rPr>
      </w:pPr>
      <w:r>
        <w:rPr>
          <w:rFonts w:hint="eastAsia"/>
          <w:color w:val="auto"/>
          <w:highlight w:val="none"/>
        </w:rPr>
        <w:t>8.1 定选</w:t>
      </w:r>
    </w:p>
    <w:p>
      <w:pPr>
        <w:ind w:firstLine="640"/>
        <w:rPr>
          <w:color w:val="auto"/>
          <w:highlight w:val="none"/>
        </w:rPr>
      </w:pPr>
      <w:r>
        <w:rPr>
          <w:rFonts w:hint="eastAsia"/>
          <w:color w:val="auto"/>
          <w:highlight w:val="none"/>
        </w:rPr>
        <w:t>遴选评审委员会按照遴选文件规定的遴选方法进行遴选，得分最高的申请人将作为招募主体拟实施合作的第一顺序对象。第一顺位申请人未能与招募主体签订正式合作协议的，招募主体有权选择第二顺序的申请人进行合作，以此类推，确定最终的合作伙伴或重新发布招募公告。</w:t>
      </w:r>
    </w:p>
    <w:p>
      <w:pPr>
        <w:ind w:firstLine="640"/>
        <w:rPr>
          <w:color w:val="auto"/>
          <w:highlight w:val="none"/>
        </w:rPr>
      </w:pPr>
      <w:r>
        <w:rPr>
          <w:rFonts w:hint="eastAsia"/>
          <w:color w:val="auto"/>
          <w:highlight w:val="none"/>
        </w:rPr>
        <w:t>8.2 招募主体对未实施合作的遴选申请人不作出原因的解释，所有合作申请文件不予退还。</w:t>
      </w:r>
    </w:p>
    <w:p>
      <w:pPr>
        <w:ind w:firstLine="640"/>
        <w:rPr>
          <w:color w:val="auto"/>
          <w:highlight w:val="none"/>
        </w:rPr>
      </w:pPr>
      <w:r>
        <w:rPr>
          <w:rFonts w:hint="eastAsia"/>
          <w:color w:val="auto"/>
          <w:highlight w:val="none"/>
        </w:rPr>
        <w:t>9.其他说明</w:t>
      </w:r>
    </w:p>
    <w:p>
      <w:pPr>
        <w:ind w:firstLine="640"/>
        <w:rPr>
          <w:color w:val="auto"/>
          <w:highlight w:val="none"/>
        </w:rPr>
      </w:pPr>
      <w:r>
        <w:rPr>
          <w:rFonts w:hint="eastAsia"/>
          <w:color w:val="auto"/>
          <w:highlight w:val="none"/>
        </w:rPr>
        <w:t>9.1 其它未尽事宜，按国家有关法律、法规执行。</w:t>
      </w:r>
    </w:p>
    <w:p>
      <w:pPr>
        <w:ind w:firstLine="640"/>
        <w:rPr>
          <w:color w:val="auto"/>
          <w:highlight w:val="none"/>
        </w:rPr>
      </w:pPr>
      <w:r>
        <w:rPr>
          <w:rFonts w:hint="eastAsia"/>
          <w:color w:val="auto"/>
          <w:highlight w:val="none"/>
        </w:rPr>
        <w:t>9.2 遴选保证金的退还见遴选申请人须知前附表。</w:t>
      </w:r>
    </w:p>
    <w:p>
      <w:pPr>
        <w:ind w:firstLine="640"/>
        <w:rPr>
          <w:color w:val="auto"/>
          <w:highlight w:val="none"/>
        </w:rPr>
      </w:pPr>
      <w:r>
        <w:rPr>
          <w:rFonts w:hint="eastAsia"/>
          <w:color w:val="auto"/>
          <w:highlight w:val="none"/>
        </w:rPr>
        <w:t>9.3 拟实施合作对象须按照遴选申请人须知前附表的规定向代理机构缴纳本项目代理服务费。</w:t>
      </w:r>
    </w:p>
    <w:p>
      <w:pPr>
        <w:ind w:firstLine="640"/>
        <w:rPr>
          <w:color w:val="auto"/>
          <w:highlight w:val="none"/>
        </w:rPr>
      </w:pPr>
      <w:r>
        <w:rPr>
          <w:rFonts w:hint="eastAsia"/>
          <w:color w:val="auto"/>
          <w:highlight w:val="none"/>
        </w:rPr>
        <w:br w:type="page"/>
      </w:r>
    </w:p>
    <w:p>
      <w:pPr>
        <w:ind w:firstLine="0" w:firstLineChars="0"/>
        <w:jc w:val="center"/>
        <w:rPr>
          <w:rFonts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t>第三章、遴选办法</w:t>
      </w:r>
    </w:p>
    <w:p>
      <w:pPr>
        <w:ind w:firstLine="640"/>
        <w:rPr>
          <w:color w:val="auto"/>
          <w:highlight w:val="none"/>
        </w:rPr>
      </w:pPr>
      <w:r>
        <w:rPr>
          <w:rFonts w:hint="eastAsia"/>
          <w:color w:val="auto"/>
          <w:highlight w:val="none"/>
        </w:rPr>
        <w:t>1. 遴选评审委员会</w:t>
      </w:r>
    </w:p>
    <w:p>
      <w:pPr>
        <w:ind w:firstLine="640"/>
        <w:rPr>
          <w:color w:val="auto"/>
          <w:highlight w:val="none"/>
        </w:rPr>
      </w:pPr>
      <w:r>
        <w:rPr>
          <w:rFonts w:hint="eastAsia"/>
          <w:color w:val="auto"/>
          <w:highlight w:val="none"/>
        </w:rPr>
        <w:t>1.1 遴选评审委员由5人及以上单数组成，从湖南省综合专家库中抽取3人，其余由产投集团和长沙市土地开发建设有限责任公司相关人员组成。</w:t>
      </w:r>
    </w:p>
    <w:p>
      <w:pPr>
        <w:ind w:firstLine="640"/>
        <w:rPr>
          <w:color w:val="auto"/>
          <w:highlight w:val="none"/>
        </w:rPr>
      </w:pPr>
      <w:r>
        <w:rPr>
          <w:rFonts w:hint="eastAsia"/>
          <w:color w:val="auto"/>
          <w:highlight w:val="none"/>
        </w:rPr>
        <w:t>2.遴选程序</w:t>
      </w:r>
    </w:p>
    <w:p>
      <w:pPr>
        <w:ind w:firstLine="640"/>
        <w:rPr>
          <w:color w:val="auto"/>
          <w:highlight w:val="none"/>
        </w:rPr>
      </w:pPr>
      <w:r>
        <w:rPr>
          <w:rFonts w:hint="eastAsia"/>
          <w:color w:val="auto"/>
          <w:highlight w:val="none"/>
        </w:rPr>
        <w:t>（1）遴选准备；</w:t>
      </w:r>
    </w:p>
    <w:p>
      <w:pPr>
        <w:ind w:firstLine="640"/>
        <w:rPr>
          <w:color w:val="auto"/>
          <w:highlight w:val="none"/>
        </w:rPr>
      </w:pPr>
      <w:r>
        <w:rPr>
          <w:rFonts w:hint="eastAsia"/>
          <w:color w:val="auto"/>
          <w:highlight w:val="none"/>
        </w:rPr>
        <w:t>（2）对合作申请文件基础性分析和整理；</w:t>
      </w:r>
    </w:p>
    <w:p>
      <w:pPr>
        <w:ind w:firstLine="640"/>
        <w:rPr>
          <w:color w:val="auto"/>
          <w:highlight w:val="none"/>
        </w:rPr>
      </w:pPr>
      <w:r>
        <w:rPr>
          <w:rFonts w:hint="eastAsia"/>
          <w:color w:val="auto"/>
          <w:highlight w:val="none"/>
        </w:rPr>
        <w:t>（3）</w:t>
      </w:r>
      <w:r>
        <w:rPr>
          <w:rFonts w:hint="eastAsia"/>
          <w:color w:val="auto"/>
          <w:highlight w:val="none"/>
          <w:lang w:val="en-US" w:eastAsia="zh-CN"/>
        </w:rPr>
        <w:t>资格性、</w:t>
      </w:r>
      <w:r>
        <w:rPr>
          <w:rFonts w:hint="eastAsia"/>
          <w:color w:val="auto"/>
          <w:highlight w:val="none"/>
        </w:rPr>
        <w:t>符合性审查；</w:t>
      </w:r>
    </w:p>
    <w:p>
      <w:pPr>
        <w:ind w:firstLine="640"/>
        <w:rPr>
          <w:color w:val="auto"/>
          <w:highlight w:val="none"/>
        </w:rPr>
      </w:pPr>
      <w:r>
        <w:rPr>
          <w:rFonts w:hint="eastAsia"/>
          <w:color w:val="auto"/>
          <w:highlight w:val="none"/>
        </w:rPr>
        <w:t>（4）汇总遴选结果；</w:t>
      </w:r>
    </w:p>
    <w:p>
      <w:pPr>
        <w:ind w:firstLine="640"/>
        <w:rPr>
          <w:color w:val="auto"/>
          <w:highlight w:val="none"/>
        </w:rPr>
      </w:pPr>
      <w:r>
        <w:rPr>
          <w:rFonts w:hint="eastAsia"/>
          <w:color w:val="auto"/>
          <w:highlight w:val="none"/>
        </w:rPr>
        <w:t>（5）推荐拟合作顺序对象；</w:t>
      </w:r>
    </w:p>
    <w:p>
      <w:pPr>
        <w:ind w:firstLine="640"/>
        <w:rPr>
          <w:color w:val="auto"/>
          <w:highlight w:val="none"/>
        </w:rPr>
      </w:pPr>
      <w:r>
        <w:rPr>
          <w:rFonts w:hint="eastAsia"/>
          <w:color w:val="auto"/>
          <w:highlight w:val="none"/>
        </w:rPr>
        <w:t>（6）编写遴选报告；</w:t>
      </w:r>
    </w:p>
    <w:p>
      <w:pPr>
        <w:ind w:firstLine="640"/>
        <w:rPr>
          <w:color w:val="auto"/>
          <w:highlight w:val="none"/>
        </w:rPr>
      </w:pPr>
      <w:r>
        <w:rPr>
          <w:rFonts w:hint="eastAsia"/>
          <w:color w:val="auto"/>
          <w:highlight w:val="none"/>
        </w:rPr>
        <w:t>（7）出具遴选情况书面报告。</w:t>
      </w:r>
    </w:p>
    <w:p>
      <w:pPr>
        <w:ind w:firstLine="640"/>
        <w:rPr>
          <w:color w:val="auto"/>
          <w:highlight w:val="none"/>
        </w:rPr>
      </w:pPr>
      <w:r>
        <w:rPr>
          <w:rFonts w:hint="eastAsia"/>
          <w:color w:val="auto"/>
          <w:highlight w:val="none"/>
        </w:rPr>
        <w:t>3. 遴选内容和方法</w:t>
      </w:r>
    </w:p>
    <w:p>
      <w:pPr>
        <w:ind w:firstLine="640"/>
        <w:rPr>
          <w:color w:val="auto"/>
          <w:highlight w:val="none"/>
        </w:rPr>
      </w:pPr>
      <w:r>
        <w:rPr>
          <w:rFonts w:hint="eastAsia"/>
          <w:color w:val="auto"/>
          <w:highlight w:val="none"/>
        </w:rPr>
        <w:t>澄清、说明或补正的编制要求：无格式要求，但应满足遴选评审委员会提出问题的具体要求。</w:t>
      </w:r>
    </w:p>
    <w:p>
      <w:pPr>
        <w:ind w:firstLine="640"/>
        <w:rPr>
          <w:color w:val="auto"/>
          <w:highlight w:val="none"/>
        </w:rPr>
      </w:pPr>
      <w:r>
        <w:rPr>
          <w:rFonts w:hint="eastAsia"/>
          <w:color w:val="auto"/>
          <w:highlight w:val="none"/>
        </w:rPr>
        <w:t>4. 遴选报告</w:t>
      </w:r>
    </w:p>
    <w:p>
      <w:pPr>
        <w:ind w:firstLine="640"/>
        <w:rPr>
          <w:color w:val="auto"/>
          <w:highlight w:val="none"/>
        </w:rPr>
      </w:pPr>
      <w:r>
        <w:rPr>
          <w:rFonts w:hint="eastAsia"/>
          <w:color w:val="auto"/>
          <w:highlight w:val="none"/>
        </w:rPr>
        <w:t>书面遴选报告包括的其他内容：</w:t>
      </w:r>
    </w:p>
    <w:p>
      <w:pPr>
        <w:ind w:firstLine="640"/>
        <w:rPr>
          <w:color w:val="auto"/>
          <w:highlight w:val="none"/>
        </w:rPr>
      </w:pPr>
      <w:r>
        <w:rPr>
          <w:rFonts w:hint="eastAsia"/>
          <w:color w:val="auto"/>
          <w:highlight w:val="none"/>
        </w:rPr>
        <w:t>合作申请文件报送签收一览表；</w:t>
      </w:r>
    </w:p>
    <w:p>
      <w:pPr>
        <w:ind w:firstLine="640"/>
        <w:rPr>
          <w:color w:val="auto"/>
          <w:highlight w:val="none"/>
        </w:rPr>
      </w:pPr>
      <w:r>
        <w:rPr>
          <w:rFonts w:hint="eastAsia"/>
          <w:color w:val="auto"/>
          <w:highlight w:val="none"/>
        </w:rPr>
        <w:t>遴选情况书面报告；</w:t>
      </w:r>
    </w:p>
    <w:p>
      <w:pPr>
        <w:ind w:firstLine="640"/>
        <w:rPr>
          <w:color w:val="auto"/>
          <w:highlight w:val="none"/>
        </w:rPr>
      </w:pPr>
      <w:r>
        <w:rPr>
          <w:rFonts w:hint="eastAsia"/>
          <w:color w:val="auto"/>
          <w:highlight w:val="none"/>
        </w:rPr>
        <w:t>5. 否决遴选条件</w:t>
      </w:r>
    </w:p>
    <w:p>
      <w:pPr>
        <w:ind w:firstLine="640"/>
        <w:rPr>
          <w:color w:val="auto"/>
          <w:highlight w:val="none"/>
        </w:rPr>
      </w:pPr>
      <w:r>
        <w:rPr>
          <w:rFonts w:hint="eastAsia"/>
          <w:color w:val="auto"/>
          <w:highlight w:val="none"/>
        </w:rPr>
        <w:t>5.1 其他否决遴选条件：</w:t>
      </w:r>
    </w:p>
    <w:p>
      <w:pPr>
        <w:ind w:firstLine="640"/>
        <w:rPr>
          <w:color w:val="auto"/>
          <w:highlight w:val="none"/>
        </w:rPr>
      </w:pPr>
      <w:r>
        <w:rPr>
          <w:rFonts w:hint="eastAsia"/>
          <w:color w:val="auto"/>
          <w:highlight w:val="none"/>
        </w:rPr>
        <w:t>遴选申请人名称或组织机构与遴选申请人报名时不一致的，且未提供其不一致原因合理证明的。</w:t>
      </w:r>
    </w:p>
    <w:p>
      <w:pPr>
        <w:ind w:firstLine="640"/>
        <w:rPr>
          <w:color w:val="auto"/>
          <w:highlight w:val="none"/>
        </w:rPr>
      </w:pPr>
      <w:r>
        <w:rPr>
          <w:rFonts w:hint="eastAsia"/>
          <w:color w:val="auto"/>
          <w:highlight w:val="none"/>
        </w:rPr>
        <w:t>参加遴选会并签到的授权代表人与授权委托书中载明的被授权人（拟派授权代表人）不是同一人的。</w:t>
      </w:r>
    </w:p>
    <w:p>
      <w:pPr>
        <w:ind w:firstLine="640"/>
        <w:rPr>
          <w:color w:val="auto"/>
          <w:highlight w:val="none"/>
        </w:rPr>
      </w:pPr>
      <w:r>
        <w:rPr>
          <w:rFonts w:hint="eastAsia"/>
          <w:color w:val="auto"/>
          <w:highlight w:val="none"/>
        </w:rPr>
        <w:t>未按规定的格式填写，内容不全或申请文件中关键字迹模糊、无法辨认的；</w:t>
      </w:r>
    </w:p>
    <w:p>
      <w:pPr>
        <w:ind w:firstLine="640"/>
        <w:rPr>
          <w:color w:val="auto"/>
          <w:highlight w:val="none"/>
        </w:rPr>
      </w:pPr>
      <w:r>
        <w:rPr>
          <w:rFonts w:hint="eastAsia"/>
          <w:color w:val="auto"/>
          <w:highlight w:val="none"/>
        </w:rPr>
        <w:t>单位负责人为同一人或存在控股、管理关系的不同单位，参加同一项目遴选的；</w:t>
      </w:r>
    </w:p>
    <w:p>
      <w:pPr>
        <w:ind w:firstLine="640"/>
        <w:rPr>
          <w:color w:val="auto"/>
          <w:highlight w:val="none"/>
        </w:rPr>
      </w:pPr>
      <w:r>
        <w:rPr>
          <w:rFonts w:hint="eastAsia" w:ascii="仿宋_GB2312"/>
          <w:color w:val="auto"/>
          <w:szCs w:val="32"/>
          <w:highlight w:val="none"/>
        </w:rPr>
        <w:t>低于</w:t>
      </w:r>
      <w:r>
        <w:rPr>
          <w:rFonts w:hint="eastAsia" w:ascii="仿宋_GB2312"/>
          <w:color w:val="auto"/>
          <w:szCs w:val="32"/>
          <w:highlight w:val="none"/>
          <w:lang w:val="en-US" w:eastAsia="zh-CN"/>
        </w:rPr>
        <w:t>70</w:t>
      </w:r>
      <w:r>
        <w:rPr>
          <w:rFonts w:hint="eastAsia" w:ascii="仿宋_GB2312"/>
          <w:color w:val="auto"/>
          <w:szCs w:val="32"/>
          <w:highlight w:val="none"/>
        </w:rPr>
        <w:t>分视为不合格申请人，不参与排序。</w:t>
      </w:r>
    </w:p>
    <w:p>
      <w:pPr>
        <w:ind w:firstLine="640"/>
        <w:rPr>
          <w:color w:val="auto"/>
          <w:highlight w:val="none"/>
        </w:rPr>
      </w:pPr>
      <w:r>
        <w:rPr>
          <w:rFonts w:hint="eastAsia"/>
          <w:color w:val="auto"/>
          <w:highlight w:val="none"/>
        </w:rPr>
        <w:t>6.遴选评审标准</w:t>
      </w:r>
    </w:p>
    <w:tbl>
      <w:tblPr>
        <w:tblStyle w:val="15"/>
        <w:tblW w:w="9138"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1029"/>
        <w:gridCol w:w="1108"/>
        <w:gridCol w:w="3668"/>
        <w:gridCol w:w="2460"/>
        <w:gridCol w:w="873"/>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269" w:hRule="atLeast"/>
        </w:trPr>
        <w:tc>
          <w:tcPr>
            <w:tcW w:w="5805" w:type="dxa"/>
            <w:gridSpan w:val="3"/>
            <w:shd w:val="clear" w:color="auto" w:fill="auto"/>
            <w:tcMar>
              <w:top w:w="15" w:type="dxa"/>
              <w:left w:w="15" w:type="dxa"/>
              <w:right w:w="15" w:type="dxa"/>
            </w:tcMar>
            <w:vAlign w:val="center"/>
          </w:tcPr>
          <w:p>
            <w:pPr>
              <w:widowControl/>
              <w:ind w:firstLine="643"/>
              <w:jc w:val="center"/>
              <w:textAlignment w:val="center"/>
              <w:rPr>
                <w:rFonts w:ascii="仿宋" w:hAnsi="仿宋" w:eastAsia="仿宋" w:cs="仿宋"/>
                <w:b/>
                <w:color w:val="auto"/>
                <w:szCs w:val="21"/>
                <w:highlight w:val="none"/>
              </w:rPr>
            </w:pPr>
            <w:r>
              <w:rPr>
                <w:rFonts w:hint="eastAsia" w:ascii="仿宋" w:hAnsi="仿宋" w:eastAsia="仿宋" w:cs="仿宋"/>
                <w:b/>
                <w:color w:val="auto"/>
                <w:kern w:val="0"/>
                <w:szCs w:val="21"/>
                <w:highlight w:val="none"/>
                <w:lang w:bidi="ar"/>
              </w:rPr>
              <w:t>评分标准</w:t>
            </w:r>
          </w:p>
        </w:tc>
        <w:tc>
          <w:tcPr>
            <w:tcW w:w="2460" w:type="dxa"/>
            <w:shd w:val="clear" w:color="auto" w:fill="auto"/>
            <w:tcMar>
              <w:top w:w="15" w:type="dxa"/>
              <w:left w:w="15" w:type="dxa"/>
              <w:right w:w="15" w:type="dxa"/>
            </w:tcMar>
            <w:vAlign w:val="center"/>
          </w:tcPr>
          <w:p>
            <w:pPr>
              <w:widowControl/>
              <w:ind w:firstLine="0" w:firstLineChars="0"/>
              <w:jc w:val="center"/>
              <w:textAlignment w:val="center"/>
              <w:rPr>
                <w:rFonts w:ascii="仿宋" w:hAnsi="仿宋" w:eastAsia="仿宋" w:cs="仿宋"/>
                <w:b/>
                <w:color w:val="auto"/>
                <w:szCs w:val="21"/>
                <w:highlight w:val="none"/>
              </w:rPr>
            </w:pPr>
            <w:r>
              <w:rPr>
                <w:rFonts w:hint="eastAsia" w:ascii="仿宋" w:hAnsi="仿宋" w:eastAsia="仿宋" w:cs="仿宋"/>
                <w:b/>
                <w:color w:val="auto"/>
                <w:kern w:val="0"/>
                <w:szCs w:val="21"/>
                <w:highlight w:val="none"/>
                <w:lang w:bidi="ar"/>
              </w:rPr>
              <w:t>证明方式</w:t>
            </w:r>
          </w:p>
        </w:tc>
        <w:tc>
          <w:tcPr>
            <w:tcW w:w="873" w:type="dxa"/>
            <w:shd w:val="clear" w:color="auto" w:fill="auto"/>
            <w:tcMar>
              <w:top w:w="15" w:type="dxa"/>
              <w:left w:w="15" w:type="dxa"/>
              <w:right w:w="15" w:type="dxa"/>
            </w:tcMar>
            <w:vAlign w:val="center"/>
          </w:tcPr>
          <w:p>
            <w:pPr>
              <w:widowControl/>
              <w:ind w:firstLine="0" w:firstLineChars="0"/>
              <w:jc w:val="center"/>
              <w:textAlignment w:val="center"/>
              <w:rPr>
                <w:rFonts w:ascii="仿宋" w:hAnsi="仿宋" w:eastAsia="仿宋" w:cs="仿宋"/>
                <w:b/>
                <w:color w:val="auto"/>
                <w:szCs w:val="21"/>
                <w:highlight w:val="none"/>
              </w:rPr>
            </w:pPr>
            <w:r>
              <w:rPr>
                <w:rFonts w:hint="eastAsia" w:ascii="仿宋" w:hAnsi="仿宋" w:eastAsia="仿宋" w:cs="仿宋"/>
                <w:b/>
                <w:color w:val="auto"/>
                <w:kern w:val="0"/>
                <w:szCs w:val="21"/>
                <w:highlight w:val="none"/>
                <w:lang w:bidi="ar"/>
              </w:rPr>
              <w:t>分值</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07" w:hRule="atLeast"/>
        </w:trPr>
        <w:tc>
          <w:tcPr>
            <w:tcW w:w="1029" w:type="dxa"/>
            <w:shd w:val="clear" w:color="auto" w:fill="auto"/>
            <w:tcMar>
              <w:top w:w="15" w:type="dxa"/>
              <w:left w:w="15" w:type="dxa"/>
              <w:right w:w="15" w:type="dxa"/>
            </w:tcMar>
            <w:vAlign w:val="center"/>
          </w:tcPr>
          <w:p>
            <w:pPr>
              <w:widowControl/>
              <w:ind w:firstLine="0" w:firstLineChars="0"/>
              <w:jc w:val="center"/>
              <w:textAlignment w:val="center"/>
              <w:rPr>
                <w:rFonts w:ascii="仿宋" w:hAnsi="仿宋" w:eastAsia="仿宋" w:cs="仿宋"/>
                <w:color w:val="auto"/>
                <w:kern w:val="0"/>
                <w:szCs w:val="21"/>
                <w:highlight w:val="none"/>
                <w:lang w:bidi="ar"/>
              </w:rPr>
            </w:pPr>
            <w:r>
              <w:rPr>
                <w:rFonts w:hint="eastAsia" w:ascii="仿宋" w:hAnsi="仿宋" w:eastAsia="仿宋" w:cs="仿宋"/>
                <w:color w:val="auto"/>
                <w:kern w:val="0"/>
                <w:szCs w:val="21"/>
                <w:highlight w:val="none"/>
                <w:lang w:bidi="ar"/>
              </w:rPr>
              <w:t>应选</w:t>
            </w:r>
          </w:p>
          <w:p>
            <w:pPr>
              <w:widowControl/>
              <w:ind w:firstLine="0" w:firstLineChars="0"/>
              <w:jc w:val="center"/>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报价</w:t>
            </w:r>
          </w:p>
        </w:tc>
        <w:tc>
          <w:tcPr>
            <w:tcW w:w="1108" w:type="dxa"/>
            <w:shd w:val="clear" w:color="auto" w:fill="auto"/>
            <w:tcMar>
              <w:top w:w="15" w:type="dxa"/>
              <w:left w:w="15" w:type="dxa"/>
              <w:right w:w="15" w:type="dxa"/>
            </w:tcMar>
            <w:vAlign w:val="center"/>
          </w:tcPr>
          <w:p>
            <w:pPr>
              <w:widowControl/>
              <w:ind w:firstLine="0" w:firstLineChars="0"/>
              <w:textAlignment w:val="center"/>
              <w:rPr>
                <w:rFonts w:ascii="仿宋" w:hAnsi="仿宋" w:eastAsia="仿宋" w:cs="仿宋"/>
                <w:color w:val="auto"/>
                <w:szCs w:val="21"/>
                <w:highlight w:val="none"/>
              </w:rPr>
            </w:pPr>
          </w:p>
        </w:tc>
        <w:tc>
          <w:tcPr>
            <w:tcW w:w="3668" w:type="dxa"/>
            <w:shd w:val="clear" w:color="auto" w:fill="FFFFFF"/>
            <w:tcMar>
              <w:top w:w="15" w:type="dxa"/>
              <w:left w:w="15" w:type="dxa"/>
              <w:right w:w="15" w:type="dxa"/>
            </w:tcMar>
            <w:vAlign w:val="center"/>
          </w:tcPr>
          <w:p>
            <w:pPr>
              <w:widowControl/>
              <w:ind w:firstLine="0" w:firstLineChars="0"/>
              <w:jc w:val="left"/>
              <w:textAlignment w:val="center"/>
              <w:rPr>
                <w:color w:val="auto"/>
                <w:highlight w:val="none"/>
              </w:rPr>
            </w:pPr>
            <w:r>
              <w:rPr>
                <w:rFonts w:hint="eastAsia"/>
                <w:color w:val="auto"/>
                <w:highlight w:val="none"/>
              </w:rPr>
              <w:t>1.</w:t>
            </w:r>
            <w:r>
              <w:rPr>
                <w:color w:val="auto"/>
                <w:highlight w:val="none"/>
              </w:rPr>
              <w:t>爬坡期业绩不考核：爬坡期为第1个经营年，委托管理费用为实际毛利润的A%。</w:t>
            </w:r>
          </w:p>
          <w:p>
            <w:pPr>
              <w:widowControl/>
              <w:ind w:firstLine="0" w:firstLineChars="0"/>
              <w:jc w:val="left"/>
              <w:textAlignment w:val="center"/>
              <w:rPr>
                <w:color w:val="auto"/>
                <w:highlight w:val="none"/>
              </w:rPr>
            </w:pPr>
            <w:r>
              <w:rPr>
                <w:rFonts w:hint="eastAsia"/>
                <w:color w:val="auto"/>
                <w:highlight w:val="none"/>
              </w:rPr>
              <w:t>2.</w:t>
            </w:r>
            <w:r>
              <w:rPr>
                <w:color w:val="auto"/>
                <w:highlight w:val="none"/>
              </w:rPr>
              <w:t>培育期业绩考核：培育期为第2个经营年，以毛利润是否达到目标作为考核条件，委托管理费以毛利润为收取口径。第2个经营年的目标毛利润为</w:t>
            </w:r>
            <w:r>
              <w:rPr>
                <w:rFonts w:hint="eastAsia"/>
                <w:color w:val="auto"/>
                <w:highlight w:val="none"/>
              </w:rPr>
              <w:t>1060</w:t>
            </w:r>
            <w:r>
              <w:rPr>
                <w:color w:val="auto"/>
                <w:highlight w:val="none"/>
              </w:rPr>
              <w:t>万元/年。</w:t>
            </w:r>
          </w:p>
          <w:p>
            <w:pPr>
              <w:widowControl/>
              <w:ind w:firstLine="0" w:firstLineChars="0"/>
              <w:jc w:val="left"/>
              <w:textAlignment w:val="center"/>
              <w:rPr>
                <w:color w:val="auto"/>
                <w:highlight w:val="none"/>
              </w:rPr>
            </w:pPr>
            <w:r>
              <w:rPr>
                <w:rFonts w:hint="eastAsia"/>
                <w:color w:val="auto"/>
                <w:highlight w:val="none"/>
              </w:rPr>
              <w:t>当</w:t>
            </w:r>
            <w:r>
              <w:rPr>
                <w:color w:val="auto"/>
                <w:highlight w:val="none"/>
              </w:rPr>
              <w:t>实际毛利润≤目标毛利润的</w:t>
            </w:r>
            <w:r>
              <w:rPr>
                <w:rFonts w:hint="eastAsia"/>
                <w:color w:val="auto"/>
                <w:highlight w:val="none"/>
              </w:rPr>
              <w:t>70%，</w:t>
            </w:r>
            <w:r>
              <w:rPr>
                <w:color w:val="auto"/>
                <w:highlight w:val="none"/>
              </w:rPr>
              <w:t>委托管理费为</w:t>
            </w:r>
            <w:r>
              <w:rPr>
                <w:rFonts w:hint="eastAsia"/>
                <w:color w:val="auto"/>
                <w:highlight w:val="none"/>
              </w:rPr>
              <w:t>0；</w:t>
            </w:r>
          </w:p>
          <w:p>
            <w:pPr>
              <w:widowControl/>
              <w:ind w:firstLine="0" w:firstLineChars="0"/>
              <w:jc w:val="left"/>
              <w:textAlignment w:val="center"/>
              <w:rPr>
                <w:color w:val="auto"/>
                <w:highlight w:val="none"/>
              </w:rPr>
            </w:pPr>
            <w:r>
              <w:rPr>
                <w:color w:val="auto"/>
                <w:highlight w:val="none"/>
              </w:rPr>
              <w:t>当目标毛利润的70%＜实际毛利润≤目标毛利润的75%，委托管理费为3%</w:t>
            </w:r>
            <w:r>
              <w:rPr>
                <w:rFonts w:hint="eastAsia"/>
                <w:color w:val="auto"/>
                <w:highlight w:val="none"/>
              </w:rPr>
              <w:t>；</w:t>
            </w:r>
          </w:p>
          <w:p>
            <w:pPr>
              <w:widowControl/>
              <w:ind w:firstLine="0" w:firstLineChars="0"/>
              <w:jc w:val="left"/>
              <w:textAlignment w:val="center"/>
              <w:rPr>
                <w:color w:val="auto"/>
                <w:highlight w:val="none"/>
              </w:rPr>
            </w:pPr>
            <w:r>
              <w:rPr>
                <w:color w:val="auto"/>
                <w:highlight w:val="none"/>
              </w:rPr>
              <w:t>当目标毛利润的75%＜实际毛利润＜目标毛利润，委托管理费为实际毛利润的A%</w:t>
            </w:r>
            <w:r>
              <w:rPr>
                <w:rFonts w:hint="eastAsia"/>
                <w:color w:val="auto"/>
                <w:highlight w:val="none"/>
              </w:rPr>
              <w:t>；</w:t>
            </w:r>
          </w:p>
          <w:p>
            <w:pPr>
              <w:widowControl/>
              <w:ind w:firstLine="0" w:firstLineChars="0"/>
              <w:jc w:val="left"/>
              <w:textAlignment w:val="center"/>
              <w:rPr>
                <w:color w:val="auto"/>
                <w:highlight w:val="none"/>
              </w:rPr>
            </w:pPr>
            <w:r>
              <w:rPr>
                <w:color w:val="auto"/>
                <w:highlight w:val="none"/>
              </w:rPr>
              <w:t>当实际毛利润≥目标毛利润，委托管理费为目标毛利润的A%+超额（实际毛利润-目标毛利润）部分的55%。</w:t>
            </w:r>
          </w:p>
          <w:p>
            <w:pPr>
              <w:widowControl/>
              <w:ind w:firstLine="0" w:firstLineChars="0"/>
              <w:jc w:val="left"/>
              <w:textAlignment w:val="center"/>
              <w:rPr>
                <w:color w:val="auto"/>
                <w:highlight w:val="none"/>
              </w:rPr>
            </w:pPr>
            <w:r>
              <w:rPr>
                <w:rFonts w:hint="eastAsia"/>
                <w:color w:val="auto"/>
                <w:highlight w:val="none"/>
              </w:rPr>
              <w:t>3.</w:t>
            </w:r>
            <w:r>
              <w:rPr>
                <w:color w:val="auto"/>
                <w:highlight w:val="none"/>
              </w:rPr>
              <w:t>稳定期业绩考核：稳定期为第3个经营年及以后，以毛利润是否达到目标作为考核条件，委托管理费以毛利润为收取口径。第3个经营年的目标毛利润为</w:t>
            </w:r>
            <w:r>
              <w:rPr>
                <w:rFonts w:hint="eastAsia"/>
                <w:color w:val="auto"/>
                <w:highlight w:val="none"/>
              </w:rPr>
              <w:t>1071</w:t>
            </w:r>
            <w:r>
              <w:rPr>
                <w:color w:val="auto"/>
                <w:highlight w:val="none"/>
              </w:rPr>
              <w:t>万元/年，年增幅1%。</w:t>
            </w:r>
          </w:p>
          <w:p>
            <w:pPr>
              <w:widowControl/>
              <w:ind w:firstLine="0" w:firstLineChars="0"/>
              <w:jc w:val="left"/>
              <w:textAlignment w:val="center"/>
              <w:rPr>
                <w:color w:val="auto"/>
                <w:highlight w:val="none"/>
              </w:rPr>
            </w:pPr>
            <w:r>
              <w:rPr>
                <w:rFonts w:hint="eastAsia"/>
                <w:color w:val="auto"/>
                <w:highlight w:val="none"/>
              </w:rPr>
              <w:t>当</w:t>
            </w:r>
            <w:r>
              <w:rPr>
                <w:color w:val="auto"/>
                <w:highlight w:val="none"/>
              </w:rPr>
              <w:t>实际毛利润≤目标毛利润的</w:t>
            </w:r>
            <w:r>
              <w:rPr>
                <w:rFonts w:hint="eastAsia"/>
                <w:color w:val="auto"/>
                <w:highlight w:val="none"/>
              </w:rPr>
              <w:t>80%，</w:t>
            </w:r>
            <w:r>
              <w:rPr>
                <w:color w:val="auto"/>
                <w:highlight w:val="none"/>
              </w:rPr>
              <w:t>委托管理费为</w:t>
            </w:r>
            <w:r>
              <w:rPr>
                <w:rFonts w:hint="eastAsia"/>
                <w:color w:val="auto"/>
                <w:highlight w:val="none"/>
              </w:rPr>
              <w:t>0；</w:t>
            </w:r>
          </w:p>
          <w:p>
            <w:pPr>
              <w:widowControl/>
              <w:ind w:firstLine="0" w:firstLineChars="0"/>
              <w:jc w:val="left"/>
              <w:textAlignment w:val="center"/>
              <w:rPr>
                <w:color w:val="auto"/>
                <w:highlight w:val="none"/>
              </w:rPr>
            </w:pPr>
            <w:r>
              <w:rPr>
                <w:color w:val="auto"/>
                <w:highlight w:val="none"/>
              </w:rPr>
              <w:t>当目标毛利润的80%＜实际毛利润≤目标毛利润的85%，委托管理费为3%。</w:t>
            </w:r>
          </w:p>
          <w:p>
            <w:pPr>
              <w:widowControl/>
              <w:ind w:firstLine="0" w:firstLineChars="0"/>
              <w:jc w:val="left"/>
              <w:textAlignment w:val="center"/>
              <w:rPr>
                <w:color w:val="auto"/>
                <w:highlight w:val="none"/>
              </w:rPr>
            </w:pPr>
            <w:r>
              <w:rPr>
                <w:color w:val="auto"/>
                <w:highlight w:val="none"/>
              </w:rPr>
              <w:t>当目标毛利润的85%＜实际毛利润＜目标毛利润，委托管理费为实际毛利润的A%。</w:t>
            </w:r>
          </w:p>
          <w:p>
            <w:pPr>
              <w:widowControl/>
              <w:ind w:firstLine="0" w:firstLineChars="0"/>
              <w:jc w:val="left"/>
              <w:textAlignment w:val="center"/>
              <w:rPr>
                <w:color w:val="auto"/>
                <w:highlight w:val="none"/>
              </w:rPr>
            </w:pPr>
            <w:r>
              <w:rPr>
                <w:color w:val="auto"/>
                <w:highlight w:val="none"/>
              </w:rPr>
              <w:t>当实际毛利润≥目标毛利润，委托管理费为目标毛利润的A%+超额（实际毛利润-目标毛利润）部分的55%。</w:t>
            </w:r>
          </w:p>
          <w:p>
            <w:pPr>
              <w:widowControl/>
              <w:ind w:firstLine="0" w:firstLineChars="0"/>
              <w:jc w:val="left"/>
              <w:textAlignment w:val="center"/>
              <w:rPr>
                <w:color w:val="auto"/>
                <w:highlight w:val="none"/>
              </w:rPr>
            </w:pPr>
            <w:r>
              <w:rPr>
                <w:rFonts w:hint="eastAsia"/>
                <w:color w:val="auto"/>
                <w:highlight w:val="none"/>
              </w:rPr>
              <w:t>由</w:t>
            </w:r>
            <w:r>
              <w:rPr>
                <w:rFonts w:hint="eastAsia"/>
                <w:color w:val="auto"/>
                <w:highlight w:val="none"/>
                <w:lang w:eastAsia="zh-CN"/>
              </w:rPr>
              <w:t>申请人</w:t>
            </w:r>
            <w:r>
              <w:rPr>
                <w:rFonts w:hint="eastAsia"/>
                <w:color w:val="auto"/>
                <w:highlight w:val="none"/>
              </w:rPr>
              <w:t>对委托管理费A进行报价，上限值不得高于11%，每项报价需保持一致，有效报价中最低为比选基准价，其价格分为满分40分，其他比选人的价格分统一按照下列公式计算：报价得分=（比选基准价/比选人报价）*40。</w:t>
            </w:r>
          </w:p>
          <w:p>
            <w:pPr>
              <w:pStyle w:val="14"/>
              <w:ind w:left="0" w:leftChars="0" w:firstLine="0" w:firstLineChars="0"/>
              <w:rPr>
                <w:color w:val="auto"/>
                <w:highlight w:val="none"/>
              </w:rPr>
            </w:pPr>
            <w:r>
              <w:rPr>
                <w:rFonts w:hint="eastAsia"/>
                <w:b/>
                <w:bCs/>
                <w:color w:val="auto"/>
                <w:kern w:val="2"/>
                <w:sz w:val="32"/>
                <w:szCs w:val="22"/>
                <w:highlight w:val="none"/>
              </w:rPr>
              <w:t>注：禁止</w:t>
            </w:r>
            <w:r>
              <w:rPr>
                <w:rFonts w:hint="eastAsia"/>
                <w:b/>
                <w:bCs/>
                <w:color w:val="auto"/>
                <w:kern w:val="2"/>
                <w:sz w:val="32"/>
                <w:szCs w:val="22"/>
                <w:highlight w:val="none"/>
                <w:lang w:eastAsia="zh-CN"/>
              </w:rPr>
              <w:t>申请人</w:t>
            </w:r>
            <w:r>
              <w:rPr>
                <w:rFonts w:hint="eastAsia"/>
                <w:b/>
                <w:bCs/>
                <w:color w:val="auto"/>
                <w:kern w:val="2"/>
                <w:sz w:val="32"/>
                <w:szCs w:val="22"/>
                <w:highlight w:val="none"/>
              </w:rPr>
              <w:t>恶意竞争，低于所有</w:t>
            </w:r>
            <w:r>
              <w:rPr>
                <w:rFonts w:hint="eastAsia"/>
                <w:b/>
                <w:bCs/>
                <w:color w:val="auto"/>
                <w:kern w:val="2"/>
                <w:sz w:val="32"/>
                <w:szCs w:val="22"/>
                <w:highlight w:val="none"/>
                <w:lang w:eastAsia="zh-CN"/>
              </w:rPr>
              <w:t>申请人</w:t>
            </w:r>
            <w:r>
              <w:rPr>
                <w:rFonts w:hint="eastAsia"/>
                <w:b/>
                <w:bCs/>
                <w:color w:val="auto"/>
                <w:kern w:val="2"/>
                <w:sz w:val="32"/>
                <w:szCs w:val="22"/>
                <w:highlight w:val="none"/>
              </w:rPr>
              <w:t>有效报价平均值80%的应选报价视为无效报价，不作为比选基准价，且本项不计分。</w:t>
            </w:r>
          </w:p>
        </w:tc>
        <w:tc>
          <w:tcPr>
            <w:tcW w:w="2460" w:type="dxa"/>
            <w:shd w:val="clear" w:color="auto" w:fill="FFFFFF"/>
            <w:tcMar>
              <w:top w:w="15" w:type="dxa"/>
              <w:left w:w="15" w:type="dxa"/>
              <w:right w:w="15" w:type="dxa"/>
            </w:tcMar>
            <w:vAlign w:val="center"/>
          </w:tcPr>
          <w:p>
            <w:pPr>
              <w:ind w:firstLine="640"/>
              <w:jc w:val="left"/>
              <w:rPr>
                <w:rFonts w:ascii="仿宋" w:hAnsi="仿宋" w:eastAsia="仿宋" w:cs="仿宋"/>
                <w:color w:val="auto"/>
                <w:szCs w:val="21"/>
                <w:highlight w:val="none"/>
              </w:rPr>
            </w:pPr>
          </w:p>
        </w:tc>
        <w:tc>
          <w:tcPr>
            <w:tcW w:w="873" w:type="dxa"/>
            <w:shd w:val="clear" w:color="auto" w:fill="auto"/>
            <w:tcMar>
              <w:top w:w="15" w:type="dxa"/>
              <w:left w:w="15" w:type="dxa"/>
              <w:right w:w="15" w:type="dxa"/>
            </w:tcMar>
            <w:vAlign w:val="center"/>
          </w:tcPr>
          <w:p>
            <w:pPr>
              <w:widowControl/>
              <w:ind w:firstLine="0" w:firstLineChars="0"/>
              <w:jc w:val="center"/>
              <w:textAlignment w:val="center"/>
              <w:rPr>
                <w:rFonts w:ascii="仿宋" w:hAnsi="仿宋" w:eastAsia="仿宋" w:cs="仿宋"/>
                <w:color w:val="auto"/>
                <w:szCs w:val="21"/>
                <w:highlight w:val="none"/>
              </w:rPr>
            </w:pPr>
            <w:r>
              <w:rPr>
                <w:rFonts w:hint="eastAsia" w:eastAsia="仿宋"/>
                <w:color w:val="auto"/>
                <w:kern w:val="0"/>
                <w:szCs w:val="21"/>
                <w:highlight w:val="none"/>
                <w:lang w:bidi="ar"/>
              </w:rPr>
              <w:t>40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8" w:hRule="atLeast"/>
        </w:trPr>
        <w:tc>
          <w:tcPr>
            <w:tcW w:w="1029" w:type="dxa"/>
            <w:vMerge w:val="restart"/>
            <w:shd w:val="clear" w:color="auto" w:fill="auto"/>
            <w:tcMar>
              <w:top w:w="15" w:type="dxa"/>
              <w:left w:w="15" w:type="dxa"/>
              <w:right w:w="15" w:type="dxa"/>
            </w:tcMar>
            <w:vAlign w:val="center"/>
          </w:tcPr>
          <w:p>
            <w:pPr>
              <w:widowControl/>
              <w:ind w:firstLine="0" w:firstLineChars="0"/>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综合实力（3</w:t>
            </w:r>
            <w:r>
              <w:rPr>
                <w:rFonts w:hint="eastAsia" w:ascii="仿宋" w:hAnsi="仿宋" w:eastAsia="仿宋" w:cs="仿宋"/>
                <w:color w:val="auto"/>
                <w:kern w:val="0"/>
                <w:szCs w:val="21"/>
                <w:highlight w:val="none"/>
                <w:lang w:val="en-US" w:eastAsia="zh-CN" w:bidi="ar"/>
              </w:rPr>
              <w:t>0</w:t>
            </w:r>
            <w:r>
              <w:rPr>
                <w:rFonts w:hint="eastAsia" w:ascii="仿宋" w:hAnsi="仿宋" w:eastAsia="仿宋" w:cs="仿宋"/>
                <w:color w:val="auto"/>
                <w:kern w:val="0"/>
                <w:szCs w:val="21"/>
                <w:highlight w:val="none"/>
                <w:lang w:bidi="ar"/>
              </w:rPr>
              <w:t>分）</w:t>
            </w:r>
          </w:p>
        </w:tc>
        <w:tc>
          <w:tcPr>
            <w:tcW w:w="1108" w:type="dxa"/>
            <w:vMerge w:val="restart"/>
            <w:shd w:val="clear" w:color="auto" w:fill="auto"/>
            <w:tcMar>
              <w:top w:w="15" w:type="dxa"/>
              <w:left w:w="15" w:type="dxa"/>
              <w:right w:w="15" w:type="dxa"/>
            </w:tcMar>
            <w:vAlign w:val="center"/>
          </w:tcPr>
          <w:p>
            <w:pPr>
              <w:widowControl/>
              <w:ind w:firstLine="0" w:firstLineChars="0"/>
              <w:jc w:val="center"/>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公司</w:t>
            </w:r>
            <w:r>
              <w:rPr>
                <w:rFonts w:hint="eastAsia" w:ascii="仿宋" w:hAnsi="仿宋" w:eastAsia="仿宋" w:cs="仿宋"/>
                <w:color w:val="auto"/>
                <w:kern w:val="0"/>
                <w:szCs w:val="21"/>
                <w:highlight w:val="none"/>
                <w:lang w:bidi="ar"/>
              </w:rPr>
              <w:br w:type="textWrapping"/>
            </w:r>
            <w:r>
              <w:rPr>
                <w:rFonts w:hint="eastAsia" w:ascii="仿宋" w:hAnsi="仿宋" w:eastAsia="仿宋" w:cs="仿宋"/>
                <w:color w:val="auto"/>
                <w:kern w:val="0"/>
                <w:szCs w:val="21"/>
                <w:highlight w:val="none"/>
                <w:lang w:bidi="ar"/>
              </w:rPr>
              <w:t>实力（10分）</w:t>
            </w:r>
          </w:p>
        </w:tc>
        <w:tc>
          <w:tcPr>
            <w:tcW w:w="3668" w:type="dxa"/>
            <w:shd w:val="clear" w:color="auto" w:fill="auto"/>
            <w:tcMar>
              <w:top w:w="15" w:type="dxa"/>
              <w:left w:w="15" w:type="dxa"/>
              <w:right w:w="15" w:type="dxa"/>
            </w:tcMar>
            <w:vAlign w:val="center"/>
          </w:tcPr>
          <w:p>
            <w:pPr>
              <w:widowControl/>
              <w:ind w:firstLine="0" w:firstLineChars="0"/>
              <w:jc w:val="left"/>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eastAsia="zh-CN" w:bidi="ar"/>
              </w:rPr>
              <w:t>申请人</w:t>
            </w:r>
            <w:r>
              <w:rPr>
                <w:rFonts w:hint="eastAsia" w:ascii="仿宋" w:hAnsi="仿宋" w:eastAsia="仿宋" w:cs="仿宋"/>
                <w:color w:val="auto"/>
                <w:kern w:val="0"/>
                <w:szCs w:val="21"/>
                <w:highlight w:val="none"/>
                <w:lang w:bidi="ar"/>
              </w:rPr>
              <w:t>注册资本金≥1亿元的，得</w:t>
            </w:r>
            <w:r>
              <w:rPr>
                <w:rFonts w:hint="eastAsia" w:ascii="仿宋" w:hAnsi="仿宋" w:eastAsia="仿宋" w:cs="仿宋"/>
                <w:color w:val="auto"/>
                <w:kern w:val="0"/>
                <w:szCs w:val="21"/>
                <w:highlight w:val="none"/>
                <w:lang w:val="en-US" w:eastAsia="zh-CN" w:bidi="ar"/>
              </w:rPr>
              <w:t>5</w:t>
            </w:r>
            <w:r>
              <w:rPr>
                <w:rFonts w:hint="eastAsia" w:ascii="仿宋" w:hAnsi="仿宋" w:eastAsia="仿宋" w:cs="仿宋"/>
                <w:color w:val="auto"/>
                <w:kern w:val="0"/>
                <w:szCs w:val="21"/>
                <w:highlight w:val="none"/>
                <w:lang w:bidi="ar"/>
              </w:rPr>
              <w:t>分；如5000万元≤注册资本金＜1亿元的，得</w:t>
            </w:r>
            <w:r>
              <w:rPr>
                <w:rFonts w:hint="eastAsia" w:ascii="仿宋" w:hAnsi="仿宋" w:eastAsia="仿宋" w:cs="仿宋"/>
                <w:color w:val="auto"/>
                <w:kern w:val="0"/>
                <w:szCs w:val="21"/>
                <w:highlight w:val="none"/>
                <w:lang w:val="en-US" w:eastAsia="zh-CN" w:bidi="ar"/>
              </w:rPr>
              <w:t>3</w:t>
            </w:r>
            <w:r>
              <w:rPr>
                <w:rFonts w:hint="eastAsia" w:ascii="仿宋" w:hAnsi="仿宋" w:eastAsia="仿宋" w:cs="仿宋"/>
                <w:color w:val="auto"/>
                <w:kern w:val="0"/>
                <w:szCs w:val="21"/>
                <w:highlight w:val="none"/>
                <w:lang w:bidi="ar"/>
              </w:rPr>
              <w:t>分；如2500万元≤注册资本金＜5000万元的，得</w:t>
            </w:r>
            <w:r>
              <w:rPr>
                <w:rFonts w:hint="eastAsia" w:ascii="仿宋" w:hAnsi="仿宋" w:eastAsia="仿宋" w:cs="仿宋"/>
                <w:color w:val="auto"/>
                <w:kern w:val="0"/>
                <w:szCs w:val="21"/>
                <w:highlight w:val="none"/>
                <w:lang w:val="en-US" w:eastAsia="zh-CN" w:bidi="ar"/>
              </w:rPr>
              <w:t>1</w:t>
            </w:r>
            <w:r>
              <w:rPr>
                <w:rFonts w:hint="eastAsia" w:ascii="仿宋" w:hAnsi="仿宋" w:eastAsia="仿宋" w:cs="仿宋"/>
                <w:color w:val="auto"/>
                <w:kern w:val="0"/>
                <w:szCs w:val="21"/>
                <w:highlight w:val="none"/>
                <w:lang w:bidi="ar"/>
              </w:rPr>
              <w:t>分；如注册资本金＜2500万元的，不得分。</w:t>
            </w:r>
          </w:p>
        </w:tc>
        <w:tc>
          <w:tcPr>
            <w:tcW w:w="2460" w:type="dxa"/>
            <w:shd w:val="clear" w:color="auto" w:fill="auto"/>
            <w:tcMar>
              <w:top w:w="15" w:type="dxa"/>
              <w:left w:w="15" w:type="dxa"/>
              <w:right w:w="15" w:type="dxa"/>
            </w:tcMar>
            <w:vAlign w:val="center"/>
          </w:tcPr>
          <w:p>
            <w:pPr>
              <w:widowControl/>
              <w:ind w:firstLine="0" w:firstLineChars="0"/>
              <w:jc w:val="left"/>
              <w:textAlignment w:val="center"/>
              <w:rPr>
                <w:rFonts w:hint="default" w:ascii="仿宋" w:hAnsi="仿宋" w:eastAsia="仿宋" w:cs="仿宋"/>
                <w:color w:val="auto"/>
                <w:szCs w:val="21"/>
                <w:highlight w:val="none"/>
                <w:lang w:val="en-US" w:eastAsia="zh-CN"/>
              </w:rPr>
            </w:pPr>
            <w:r>
              <w:rPr>
                <w:rFonts w:hint="eastAsia" w:ascii="仿宋" w:hAnsi="仿宋" w:eastAsia="仿宋" w:cs="仿宋"/>
                <w:color w:val="auto"/>
                <w:szCs w:val="21"/>
                <w:highlight w:val="none"/>
                <w:lang w:val="en-US" w:eastAsia="zh-CN"/>
              </w:rPr>
              <w:t>提供</w:t>
            </w:r>
            <w:r>
              <w:rPr>
                <w:rFonts w:hint="eastAsia" w:ascii="仿宋" w:hAnsi="仿宋" w:eastAsia="仿宋" w:cs="仿宋"/>
                <w:color w:val="auto"/>
                <w:szCs w:val="21"/>
                <w:highlight w:val="none"/>
              </w:rPr>
              <w:t>营业执照</w:t>
            </w:r>
            <w:r>
              <w:rPr>
                <w:rFonts w:hint="eastAsia" w:ascii="仿宋" w:hAnsi="仿宋" w:eastAsia="仿宋" w:cs="仿宋"/>
                <w:color w:val="auto"/>
                <w:szCs w:val="21"/>
                <w:highlight w:val="none"/>
                <w:lang w:val="en-US" w:eastAsia="zh-CN"/>
              </w:rPr>
              <w:t>复印件并加盖申请人公章</w:t>
            </w:r>
          </w:p>
        </w:tc>
        <w:tc>
          <w:tcPr>
            <w:tcW w:w="873" w:type="dxa"/>
            <w:shd w:val="clear" w:color="auto" w:fill="auto"/>
            <w:tcMar>
              <w:top w:w="15" w:type="dxa"/>
              <w:left w:w="15" w:type="dxa"/>
              <w:right w:w="15" w:type="dxa"/>
            </w:tcMar>
            <w:vAlign w:val="center"/>
          </w:tcPr>
          <w:p>
            <w:pPr>
              <w:widowControl/>
              <w:ind w:firstLine="0" w:firstLineChars="0"/>
              <w:jc w:val="center"/>
              <w:textAlignment w:val="center"/>
              <w:rPr>
                <w:rFonts w:hint="eastAsia" w:ascii="仿宋" w:hAnsi="仿宋" w:eastAsia="仿宋" w:cs="仿宋"/>
                <w:color w:val="auto"/>
                <w:szCs w:val="21"/>
                <w:highlight w:val="none"/>
                <w:lang w:eastAsia="zh-CN"/>
              </w:rPr>
            </w:pPr>
            <w:r>
              <w:rPr>
                <w:rFonts w:hint="eastAsia" w:eastAsia="仿宋"/>
                <w:color w:val="auto"/>
                <w:kern w:val="0"/>
                <w:szCs w:val="21"/>
                <w:highlight w:val="none"/>
                <w:lang w:val="en-US" w:eastAsia="zh-CN" w:bidi="ar"/>
              </w:rPr>
              <w:t>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22" w:hRule="atLeast"/>
        </w:trPr>
        <w:tc>
          <w:tcPr>
            <w:tcW w:w="1029" w:type="dxa"/>
            <w:vMerge w:val="continue"/>
            <w:shd w:val="clear" w:color="auto" w:fill="auto"/>
            <w:tcMar>
              <w:top w:w="15" w:type="dxa"/>
              <w:left w:w="15" w:type="dxa"/>
              <w:right w:w="15" w:type="dxa"/>
            </w:tcMar>
            <w:vAlign w:val="center"/>
          </w:tcPr>
          <w:p>
            <w:pPr>
              <w:ind w:firstLine="640"/>
              <w:jc w:val="center"/>
              <w:rPr>
                <w:rFonts w:ascii="仿宋" w:hAnsi="仿宋" w:eastAsia="仿宋" w:cs="仿宋"/>
                <w:color w:val="auto"/>
                <w:szCs w:val="21"/>
                <w:highlight w:val="none"/>
              </w:rPr>
            </w:pPr>
          </w:p>
        </w:tc>
        <w:tc>
          <w:tcPr>
            <w:tcW w:w="1108" w:type="dxa"/>
            <w:vMerge w:val="continue"/>
            <w:tcBorders>
              <w:bottom w:val="single" w:color="auto" w:sz="4" w:space="0"/>
            </w:tcBorders>
            <w:shd w:val="clear" w:color="auto" w:fill="auto"/>
            <w:tcMar>
              <w:top w:w="15" w:type="dxa"/>
              <w:left w:w="15" w:type="dxa"/>
              <w:right w:w="15" w:type="dxa"/>
            </w:tcMar>
            <w:vAlign w:val="center"/>
          </w:tcPr>
          <w:p>
            <w:pPr>
              <w:ind w:firstLine="640"/>
              <w:jc w:val="center"/>
              <w:rPr>
                <w:rFonts w:ascii="仿宋" w:hAnsi="仿宋" w:eastAsia="仿宋" w:cs="仿宋"/>
                <w:color w:val="auto"/>
                <w:szCs w:val="21"/>
                <w:highlight w:val="none"/>
              </w:rPr>
            </w:pPr>
          </w:p>
        </w:tc>
        <w:tc>
          <w:tcPr>
            <w:tcW w:w="3668" w:type="dxa"/>
            <w:shd w:val="clear" w:color="auto" w:fill="auto"/>
            <w:tcMar>
              <w:top w:w="15" w:type="dxa"/>
              <w:left w:w="15" w:type="dxa"/>
              <w:right w:w="15" w:type="dxa"/>
            </w:tcMar>
            <w:vAlign w:val="center"/>
          </w:tcPr>
          <w:p>
            <w:pPr>
              <w:widowControl/>
              <w:ind w:firstLine="0" w:firstLineChars="0"/>
              <w:jc w:val="left"/>
              <w:textAlignment w:val="center"/>
              <w:rPr>
                <w:rFonts w:hint="eastAsia" w:ascii="仿宋" w:hAnsi="仿宋" w:eastAsia="仿宋" w:cs="仿宋"/>
                <w:color w:val="auto"/>
                <w:kern w:val="0"/>
                <w:szCs w:val="21"/>
                <w:highlight w:val="none"/>
                <w:lang w:bidi="ar"/>
              </w:rPr>
            </w:pPr>
            <w:r>
              <w:rPr>
                <w:rFonts w:hint="eastAsia" w:ascii="仿宋" w:hAnsi="仿宋" w:eastAsia="仿宋" w:cs="仿宋"/>
                <w:color w:val="auto"/>
                <w:kern w:val="0"/>
                <w:szCs w:val="21"/>
                <w:highlight w:val="none"/>
                <w:lang w:eastAsia="zh-CN" w:bidi="ar"/>
              </w:rPr>
              <w:t>申请人</w:t>
            </w:r>
            <w:r>
              <w:rPr>
                <w:rFonts w:hint="eastAsia" w:ascii="仿宋" w:hAnsi="仿宋" w:eastAsia="仿宋" w:cs="仿宋"/>
                <w:color w:val="auto"/>
                <w:kern w:val="0"/>
                <w:szCs w:val="21"/>
                <w:highlight w:val="none"/>
                <w:lang w:bidi="ar"/>
              </w:rPr>
              <w:t>或其关联公司运营的集中式公寓品牌</w:t>
            </w:r>
            <w:r>
              <w:rPr>
                <w:rFonts w:hint="eastAsia" w:ascii="仿宋" w:hAnsi="仿宋" w:eastAsia="仿宋" w:cs="仿宋"/>
                <w:color w:val="auto"/>
                <w:kern w:val="0"/>
                <w:szCs w:val="21"/>
                <w:highlight w:val="none"/>
                <w:lang w:val="en-US" w:eastAsia="zh-CN" w:bidi="ar"/>
              </w:rPr>
              <w:t>传播力</w:t>
            </w:r>
            <w:r>
              <w:rPr>
                <w:rFonts w:hint="eastAsia" w:ascii="仿宋" w:hAnsi="仿宋" w:eastAsia="仿宋" w:cs="仿宋"/>
                <w:color w:val="auto"/>
                <w:kern w:val="0"/>
                <w:szCs w:val="21"/>
                <w:highlight w:val="none"/>
                <w:lang w:bidi="ar"/>
              </w:rPr>
              <w:t>：排名第</w:t>
            </w:r>
            <w:r>
              <w:rPr>
                <w:rFonts w:hint="eastAsia" w:ascii="仿宋" w:hAnsi="仿宋" w:eastAsia="仿宋" w:cs="仿宋"/>
                <w:color w:val="auto"/>
                <w:kern w:val="0"/>
                <w:szCs w:val="21"/>
                <w:highlight w:val="none"/>
                <w:lang w:val="en-US" w:eastAsia="zh-CN" w:bidi="ar"/>
              </w:rPr>
              <w:t>1-5</w:t>
            </w:r>
            <w:r>
              <w:rPr>
                <w:rFonts w:hint="eastAsia" w:ascii="仿宋" w:hAnsi="仿宋" w:eastAsia="仿宋" w:cs="仿宋"/>
                <w:color w:val="auto"/>
                <w:kern w:val="0"/>
                <w:szCs w:val="21"/>
                <w:highlight w:val="none"/>
                <w:lang w:bidi="ar"/>
              </w:rPr>
              <w:t>名</w:t>
            </w:r>
            <w:r>
              <w:rPr>
                <w:rFonts w:hint="eastAsia" w:ascii="仿宋" w:hAnsi="仿宋" w:eastAsia="仿宋" w:cs="仿宋"/>
                <w:color w:val="auto"/>
                <w:kern w:val="0"/>
                <w:szCs w:val="21"/>
                <w:highlight w:val="none"/>
                <w:lang w:eastAsia="zh-CN" w:bidi="ar"/>
              </w:rPr>
              <w:t>的，</w:t>
            </w:r>
            <w:r>
              <w:rPr>
                <w:rFonts w:hint="eastAsia" w:ascii="仿宋" w:hAnsi="仿宋" w:eastAsia="仿宋" w:cs="仿宋"/>
                <w:color w:val="auto"/>
                <w:kern w:val="0"/>
                <w:szCs w:val="21"/>
                <w:highlight w:val="none"/>
                <w:lang w:bidi="ar"/>
              </w:rPr>
              <w:t>得</w:t>
            </w:r>
            <w:r>
              <w:rPr>
                <w:rFonts w:hint="eastAsia" w:eastAsia="仿宋"/>
                <w:color w:val="auto"/>
                <w:kern w:val="0"/>
                <w:szCs w:val="21"/>
                <w:highlight w:val="none"/>
                <w:lang w:bidi="ar"/>
              </w:rPr>
              <w:t>5</w:t>
            </w:r>
            <w:r>
              <w:rPr>
                <w:rFonts w:hint="eastAsia" w:ascii="仿宋" w:hAnsi="仿宋" w:eastAsia="仿宋" w:cs="仿宋"/>
                <w:color w:val="auto"/>
                <w:kern w:val="0"/>
                <w:szCs w:val="21"/>
                <w:highlight w:val="none"/>
                <w:lang w:bidi="ar"/>
              </w:rPr>
              <w:t>分</w:t>
            </w:r>
            <w:r>
              <w:rPr>
                <w:rFonts w:hint="eastAsia" w:ascii="仿宋" w:hAnsi="仿宋" w:eastAsia="仿宋" w:cs="仿宋"/>
                <w:color w:val="auto"/>
                <w:kern w:val="0"/>
                <w:szCs w:val="21"/>
                <w:highlight w:val="none"/>
                <w:lang w:eastAsia="zh-CN" w:bidi="ar"/>
              </w:rPr>
              <w:t>；</w:t>
            </w:r>
            <w:r>
              <w:rPr>
                <w:rFonts w:hint="eastAsia" w:ascii="仿宋" w:hAnsi="仿宋" w:eastAsia="仿宋" w:cs="仿宋"/>
                <w:color w:val="auto"/>
                <w:kern w:val="0"/>
                <w:szCs w:val="21"/>
                <w:highlight w:val="none"/>
                <w:lang w:bidi="ar"/>
              </w:rPr>
              <w:t>第</w:t>
            </w:r>
            <w:r>
              <w:rPr>
                <w:rFonts w:hint="eastAsia" w:ascii="仿宋" w:hAnsi="仿宋" w:eastAsia="仿宋" w:cs="仿宋"/>
                <w:color w:val="auto"/>
                <w:kern w:val="0"/>
                <w:szCs w:val="21"/>
                <w:highlight w:val="none"/>
                <w:lang w:val="en-US" w:eastAsia="zh-CN" w:bidi="ar"/>
              </w:rPr>
              <w:t>6-10</w:t>
            </w:r>
            <w:r>
              <w:rPr>
                <w:rFonts w:hint="eastAsia" w:ascii="仿宋" w:hAnsi="仿宋" w:eastAsia="仿宋" w:cs="仿宋"/>
                <w:color w:val="auto"/>
                <w:kern w:val="0"/>
                <w:szCs w:val="21"/>
                <w:highlight w:val="none"/>
                <w:lang w:bidi="ar"/>
              </w:rPr>
              <w:t>名</w:t>
            </w:r>
            <w:r>
              <w:rPr>
                <w:rFonts w:hint="eastAsia" w:ascii="仿宋" w:hAnsi="仿宋" w:eastAsia="仿宋" w:cs="仿宋"/>
                <w:color w:val="auto"/>
                <w:kern w:val="0"/>
                <w:szCs w:val="21"/>
                <w:highlight w:val="none"/>
                <w:lang w:eastAsia="zh-CN" w:bidi="ar"/>
              </w:rPr>
              <w:t>的，</w:t>
            </w:r>
            <w:r>
              <w:rPr>
                <w:rFonts w:hint="eastAsia" w:ascii="仿宋" w:hAnsi="仿宋" w:eastAsia="仿宋" w:cs="仿宋"/>
                <w:color w:val="auto"/>
                <w:kern w:val="0"/>
                <w:szCs w:val="21"/>
                <w:highlight w:val="none"/>
                <w:lang w:bidi="ar"/>
              </w:rPr>
              <w:t>得</w:t>
            </w:r>
            <w:r>
              <w:rPr>
                <w:rFonts w:hint="eastAsia" w:eastAsia="仿宋"/>
                <w:color w:val="auto"/>
                <w:kern w:val="0"/>
                <w:szCs w:val="21"/>
                <w:highlight w:val="none"/>
                <w:lang w:val="en-US" w:eastAsia="zh-CN" w:bidi="ar"/>
              </w:rPr>
              <w:t>4</w:t>
            </w:r>
            <w:r>
              <w:rPr>
                <w:rFonts w:hint="eastAsia" w:ascii="仿宋" w:hAnsi="仿宋" w:eastAsia="仿宋" w:cs="仿宋"/>
                <w:color w:val="auto"/>
                <w:kern w:val="0"/>
                <w:szCs w:val="21"/>
                <w:highlight w:val="none"/>
                <w:lang w:bidi="ar"/>
              </w:rPr>
              <w:t>分</w:t>
            </w:r>
            <w:r>
              <w:rPr>
                <w:rFonts w:hint="eastAsia" w:ascii="仿宋" w:hAnsi="仿宋" w:eastAsia="仿宋" w:cs="仿宋"/>
                <w:color w:val="auto"/>
                <w:kern w:val="0"/>
                <w:szCs w:val="21"/>
                <w:highlight w:val="none"/>
                <w:lang w:eastAsia="zh-CN" w:bidi="ar"/>
              </w:rPr>
              <w:t>；</w:t>
            </w:r>
            <w:r>
              <w:rPr>
                <w:rFonts w:hint="eastAsia" w:ascii="仿宋" w:hAnsi="仿宋" w:eastAsia="仿宋" w:cs="仿宋"/>
                <w:color w:val="auto"/>
                <w:kern w:val="0"/>
                <w:szCs w:val="21"/>
                <w:highlight w:val="none"/>
                <w:lang w:bidi="ar"/>
              </w:rPr>
              <w:t>第</w:t>
            </w:r>
            <w:r>
              <w:rPr>
                <w:rFonts w:hint="eastAsia" w:ascii="仿宋" w:hAnsi="仿宋" w:eastAsia="仿宋" w:cs="仿宋"/>
                <w:color w:val="auto"/>
                <w:kern w:val="0"/>
                <w:szCs w:val="21"/>
                <w:highlight w:val="none"/>
                <w:lang w:val="en-US" w:eastAsia="zh-CN" w:bidi="ar"/>
              </w:rPr>
              <w:t>11-15</w:t>
            </w:r>
            <w:r>
              <w:rPr>
                <w:rFonts w:hint="eastAsia" w:ascii="仿宋" w:hAnsi="仿宋" w:eastAsia="仿宋" w:cs="仿宋"/>
                <w:color w:val="auto"/>
                <w:kern w:val="0"/>
                <w:szCs w:val="21"/>
                <w:highlight w:val="none"/>
                <w:lang w:bidi="ar"/>
              </w:rPr>
              <w:t>名</w:t>
            </w:r>
            <w:r>
              <w:rPr>
                <w:rFonts w:hint="eastAsia" w:ascii="仿宋" w:hAnsi="仿宋" w:eastAsia="仿宋" w:cs="仿宋"/>
                <w:color w:val="auto"/>
                <w:kern w:val="0"/>
                <w:szCs w:val="21"/>
                <w:highlight w:val="none"/>
                <w:lang w:eastAsia="zh-CN" w:bidi="ar"/>
              </w:rPr>
              <w:t>的，</w:t>
            </w:r>
            <w:r>
              <w:rPr>
                <w:rFonts w:hint="eastAsia" w:ascii="仿宋" w:hAnsi="仿宋" w:eastAsia="仿宋" w:cs="仿宋"/>
                <w:color w:val="auto"/>
                <w:kern w:val="0"/>
                <w:szCs w:val="21"/>
                <w:highlight w:val="none"/>
                <w:lang w:bidi="ar"/>
              </w:rPr>
              <w:t>得</w:t>
            </w:r>
            <w:r>
              <w:rPr>
                <w:rFonts w:hint="eastAsia" w:ascii="仿宋" w:hAnsi="仿宋" w:eastAsia="仿宋" w:cs="仿宋"/>
                <w:color w:val="auto"/>
                <w:kern w:val="0"/>
                <w:szCs w:val="21"/>
                <w:highlight w:val="none"/>
                <w:lang w:val="en-US" w:eastAsia="zh-CN" w:bidi="ar"/>
              </w:rPr>
              <w:t>3</w:t>
            </w:r>
            <w:r>
              <w:rPr>
                <w:rFonts w:hint="eastAsia" w:ascii="仿宋" w:hAnsi="仿宋" w:eastAsia="仿宋" w:cs="仿宋"/>
                <w:color w:val="auto"/>
                <w:kern w:val="0"/>
                <w:szCs w:val="21"/>
                <w:highlight w:val="none"/>
                <w:lang w:bidi="ar"/>
              </w:rPr>
              <w:t>分</w:t>
            </w:r>
            <w:r>
              <w:rPr>
                <w:rFonts w:hint="eastAsia" w:ascii="仿宋" w:hAnsi="仿宋" w:eastAsia="仿宋" w:cs="仿宋"/>
                <w:color w:val="auto"/>
                <w:kern w:val="0"/>
                <w:szCs w:val="21"/>
                <w:highlight w:val="none"/>
                <w:lang w:eastAsia="zh-CN" w:bidi="ar"/>
              </w:rPr>
              <w:t>；</w:t>
            </w:r>
            <w:r>
              <w:rPr>
                <w:rFonts w:hint="eastAsia" w:ascii="仿宋" w:hAnsi="仿宋" w:eastAsia="仿宋" w:cs="仿宋"/>
                <w:color w:val="auto"/>
                <w:kern w:val="0"/>
                <w:szCs w:val="21"/>
                <w:highlight w:val="none"/>
                <w:lang w:bidi="ar"/>
              </w:rPr>
              <w:t>第</w:t>
            </w:r>
            <w:r>
              <w:rPr>
                <w:rFonts w:hint="eastAsia" w:ascii="仿宋" w:hAnsi="仿宋" w:eastAsia="仿宋" w:cs="仿宋"/>
                <w:color w:val="auto"/>
                <w:kern w:val="0"/>
                <w:szCs w:val="21"/>
                <w:highlight w:val="none"/>
                <w:lang w:val="en-US" w:eastAsia="zh-CN" w:bidi="ar"/>
              </w:rPr>
              <w:t>16-20</w:t>
            </w:r>
            <w:r>
              <w:rPr>
                <w:rFonts w:hint="eastAsia" w:ascii="仿宋" w:hAnsi="仿宋" w:eastAsia="仿宋" w:cs="仿宋"/>
                <w:color w:val="auto"/>
                <w:kern w:val="0"/>
                <w:szCs w:val="21"/>
                <w:highlight w:val="none"/>
                <w:lang w:bidi="ar"/>
              </w:rPr>
              <w:t>名</w:t>
            </w:r>
            <w:r>
              <w:rPr>
                <w:rFonts w:hint="eastAsia" w:ascii="仿宋" w:hAnsi="仿宋" w:eastAsia="仿宋" w:cs="仿宋"/>
                <w:color w:val="auto"/>
                <w:kern w:val="0"/>
                <w:szCs w:val="21"/>
                <w:highlight w:val="none"/>
                <w:lang w:eastAsia="zh-CN" w:bidi="ar"/>
              </w:rPr>
              <w:t>的，</w:t>
            </w:r>
            <w:r>
              <w:rPr>
                <w:rFonts w:hint="eastAsia" w:ascii="仿宋" w:hAnsi="仿宋" w:eastAsia="仿宋" w:cs="仿宋"/>
                <w:color w:val="auto"/>
                <w:kern w:val="0"/>
                <w:szCs w:val="21"/>
                <w:highlight w:val="none"/>
                <w:lang w:bidi="ar"/>
              </w:rPr>
              <w:t>得</w:t>
            </w:r>
            <w:r>
              <w:rPr>
                <w:rFonts w:hint="eastAsia" w:eastAsia="仿宋"/>
                <w:color w:val="auto"/>
                <w:kern w:val="0"/>
                <w:szCs w:val="21"/>
                <w:highlight w:val="none"/>
                <w:lang w:val="en-US" w:eastAsia="zh-CN" w:bidi="ar"/>
              </w:rPr>
              <w:t>2</w:t>
            </w:r>
            <w:r>
              <w:rPr>
                <w:rFonts w:hint="eastAsia" w:ascii="仿宋" w:hAnsi="仿宋" w:eastAsia="仿宋" w:cs="仿宋"/>
                <w:color w:val="auto"/>
                <w:kern w:val="0"/>
                <w:szCs w:val="21"/>
                <w:highlight w:val="none"/>
                <w:lang w:bidi="ar"/>
              </w:rPr>
              <w:t>分</w:t>
            </w:r>
            <w:r>
              <w:rPr>
                <w:rFonts w:hint="eastAsia" w:ascii="仿宋" w:hAnsi="仿宋" w:eastAsia="仿宋" w:cs="仿宋"/>
                <w:color w:val="auto"/>
                <w:kern w:val="0"/>
                <w:szCs w:val="21"/>
                <w:highlight w:val="none"/>
                <w:lang w:eastAsia="zh-CN" w:bidi="ar"/>
              </w:rPr>
              <w:t>；</w:t>
            </w:r>
            <w:r>
              <w:rPr>
                <w:rFonts w:hint="eastAsia" w:ascii="仿宋" w:hAnsi="仿宋" w:eastAsia="仿宋" w:cs="仿宋"/>
                <w:color w:val="auto"/>
                <w:kern w:val="0"/>
                <w:szCs w:val="21"/>
                <w:highlight w:val="none"/>
                <w:lang w:bidi="ar"/>
              </w:rPr>
              <w:t>第</w:t>
            </w:r>
            <w:r>
              <w:rPr>
                <w:rFonts w:hint="eastAsia" w:ascii="仿宋" w:hAnsi="仿宋" w:eastAsia="仿宋" w:cs="仿宋"/>
                <w:color w:val="auto"/>
                <w:kern w:val="0"/>
                <w:szCs w:val="21"/>
                <w:highlight w:val="none"/>
                <w:lang w:val="en-US" w:eastAsia="zh-CN" w:bidi="ar"/>
              </w:rPr>
              <w:t>21</w:t>
            </w:r>
            <w:r>
              <w:rPr>
                <w:rFonts w:hint="eastAsia" w:ascii="仿宋" w:hAnsi="仿宋" w:eastAsia="仿宋" w:cs="仿宋"/>
                <w:color w:val="auto"/>
                <w:kern w:val="0"/>
                <w:szCs w:val="21"/>
                <w:highlight w:val="none"/>
                <w:lang w:bidi="ar"/>
              </w:rPr>
              <w:t>名</w:t>
            </w:r>
            <w:r>
              <w:rPr>
                <w:rFonts w:hint="eastAsia" w:ascii="仿宋" w:hAnsi="仿宋" w:eastAsia="仿宋" w:cs="仿宋"/>
                <w:color w:val="auto"/>
                <w:kern w:val="0"/>
                <w:szCs w:val="21"/>
                <w:highlight w:val="none"/>
                <w:lang w:val="en-US" w:eastAsia="zh-CN" w:bidi="ar"/>
              </w:rPr>
              <w:t>及以后</w:t>
            </w:r>
            <w:r>
              <w:rPr>
                <w:rFonts w:hint="eastAsia" w:ascii="仿宋" w:hAnsi="仿宋" w:eastAsia="仿宋" w:cs="仿宋"/>
                <w:color w:val="auto"/>
                <w:kern w:val="0"/>
                <w:szCs w:val="21"/>
                <w:highlight w:val="none"/>
                <w:lang w:eastAsia="zh-CN" w:bidi="ar"/>
              </w:rPr>
              <w:t>的，</w:t>
            </w:r>
            <w:r>
              <w:rPr>
                <w:rFonts w:hint="eastAsia" w:ascii="仿宋" w:hAnsi="仿宋" w:eastAsia="仿宋" w:cs="仿宋"/>
                <w:color w:val="auto"/>
                <w:kern w:val="0"/>
                <w:szCs w:val="21"/>
                <w:highlight w:val="none"/>
                <w:lang w:val="en-US" w:eastAsia="zh-CN" w:bidi="ar"/>
              </w:rPr>
              <w:t>得1</w:t>
            </w:r>
            <w:r>
              <w:rPr>
                <w:rFonts w:hint="eastAsia" w:ascii="仿宋" w:hAnsi="仿宋" w:eastAsia="仿宋" w:cs="仿宋"/>
                <w:color w:val="auto"/>
                <w:kern w:val="0"/>
                <w:szCs w:val="21"/>
                <w:highlight w:val="none"/>
                <w:lang w:bidi="ar"/>
              </w:rPr>
              <w:t>分</w:t>
            </w:r>
            <w:r>
              <w:rPr>
                <w:rFonts w:hint="eastAsia" w:ascii="仿宋" w:hAnsi="仿宋" w:eastAsia="仿宋" w:cs="仿宋"/>
                <w:color w:val="auto"/>
                <w:kern w:val="0"/>
                <w:szCs w:val="21"/>
                <w:highlight w:val="none"/>
                <w:lang w:eastAsia="zh-CN" w:bidi="ar"/>
              </w:rPr>
              <w:t>；</w:t>
            </w:r>
            <w:r>
              <w:rPr>
                <w:rFonts w:hint="eastAsia" w:ascii="仿宋" w:hAnsi="仿宋" w:eastAsia="仿宋" w:cs="仿宋"/>
                <w:color w:val="auto"/>
                <w:kern w:val="0"/>
                <w:szCs w:val="21"/>
                <w:highlight w:val="none"/>
                <w:lang w:val="en-US" w:eastAsia="zh-CN" w:bidi="ar"/>
              </w:rPr>
              <w:t>未提供相关证明材料、未进入榜单的，不计分</w:t>
            </w:r>
            <w:r>
              <w:rPr>
                <w:rFonts w:hint="eastAsia" w:ascii="仿宋" w:hAnsi="仿宋" w:eastAsia="仿宋" w:cs="仿宋"/>
                <w:color w:val="auto"/>
                <w:kern w:val="0"/>
                <w:szCs w:val="21"/>
                <w:highlight w:val="none"/>
                <w:lang w:bidi="ar"/>
              </w:rPr>
              <w:t>。</w:t>
            </w:r>
          </w:p>
          <w:p>
            <w:pPr>
              <w:widowControl/>
              <w:ind w:firstLine="0" w:firstLineChars="0"/>
              <w:jc w:val="left"/>
              <w:textAlignment w:val="center"/>
              <w:rPr>
                <w:rFonts w:hint="eastAsia" w:ascii="仿宋" w:hAnsi="仿宋" w:eastAsia="仿宋" w:cs="仿宋"/>
                <w:color w:val="auto"/>
                <w:kern w:val="0"/>
                <w:szCs w:val="21"/>
                <w:highlight w:val="none"/>
                <w:lang w:bidi="ar"/>
              </w:rPr>
            </w:pPr>
            <w:r>
              <w:rPr>
                <w:rFonts w:hint="eastAsia" w:ascii="仿宋" w:hAnsi="仿宋" w:eastAsia="仿宋" w:cs="仿宋"/>
                <w:color w:val="auto"/>
                <w:kern w:val="0"/>
                <w:szCs w:val="21"/>
                <w:highlight w:val="none"/>
                <w:lang w:bidi="ar"/>
              </w:rPr>
              <w:t>注：关联公司指母子公司或同一股东控制的关联公司，下同。</w:t>
            </w:r>
          </w:p>
        </w:tc>
        <w:tc>
          <w:tcPr>
            <w:tcW w:w="2460" w:type="dxa"/>
            <w:shd w:val="clear" w:color="auto" w:fill="auto"/>
            <w:tcMar>
              <w:top w:w="15" w:type="dxa"/>
              <w:left w:w="15" w:type="dxa"/>
              <w:right w:w="15" w:type="dxa"/>
            </w:tcMar>
            <w:vAlign w:val="center"/>
          </w:tcPr>
          <w:p>
            <w:pPr>
              <w:widowControl/>
              <w:ind w:firstLine="0" w:firstLineChars="0"/>
              <w:jc w:val="left"/>
              <w:textAlignment w:val="center"/>
              <w:rPr>
                <w:rFonts w:hint="eastAsia" w:ascii="仿宋" w:hAnsi="仿宋" w:eastAsia="仿宋" w:cs="仿宋"/>
                <w:color w:val="auto"/>
                <w:szCs w:val="21"/>
                <w:highlight w:val="none"/>
                <w:lang w:eastAsia="zh-CN"/>
              </w:rPr>
            </w:pPr>
            <w:r>
              <w:rPr>
                <w:rFonts w:hint="eastAsia" w:ascii="仿宋" w:hAnsi="仿宋" w:eastAsia="仿宋" w:cs="仿宋"/>
                <w:color w:val="auto"/>
                <w:kern w:val="0"/>
                <w:szCs w:val="21"/>
                <w:highlight w:val="none"/>
                <w:lang w:bidi="ar"/>
              </w:rPr>
              <w:t>提供克而瑞</w:t>
            </w:r>
            <w:r>
              <w:rPr>
                <w:rFonts w:hint="eastAsia" w:ascii="仿宋" w:hAnsi="仿宋" w:eastAsia="仿宋" w:cs="仿宋"/>
                <w:color w:val="auto"/>
                <w:kern w:val="0"/>
                <w:szCs w:val="21"/>
                <w:highlight w:val="none"/>
                <w:lang w:val="en-US" w:eastAsia="zh-CN" w:bidi="ar"/>
              </w:rPr>
              <w:t>租售《中国住房租赁企业品牌传播力榜单》最新一期（2023年2月）截图页并加盖申请人公章</w:t>
            </w:r>
          </w:p>
        </w:tc>
        <w:tc>
          <w:tcPr>
            <w:tcW w:w="873" w:type="dxa"/>
            <w:shd w:val="clear" w:color="auto" w:fill="auto"/>
            <w:tcMar>
              <w:top w:w="15" w:type="dxa"/>
              <w:left w:w="15" w:type="dxa"/>
              <w:right w:w="15" w:type="dxa"/>
            </w:tcMar>
            <w:vAlign w:val="center"/>
          </w:tcPr>
          <w:p>
            <w:pPr>
              <w:widowControl/>
              <w:ind w:firstLine="0" w:firstLineChars="0"/>
              <w:jc w:val="center"/>
              <w:textAlignment w:val="center"/>
              <w:rPr>
                <w:rFonts w:hint="eastAsia" w:eastAsia="仿宋"/>
                <w:color w:val="auto"/>
                <w:kern w:val="0"/>
                <w:szCs w:val="21"/>
                <w:highlight w:val="none"/>
                <w:lang w:bidi="ar"/>
              </w:rPr>
            </w:pPr>
            <w:r>
              <w:rPr>
                <w:rFonts w:hint="eastAsia" w:eastAsia="仿宋"/>
                <w:color w:val="auto"/>
                <w:kern w:val="0"/>
                <w:szCs w:val="21"/>
                <w:highlight w:val="none"/>
                <w:lang w:bidi="ar"/>
              </w:rPr>
              <w:t>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27" w:hRule="atLeast"/>
        </w:trPr>
        <w:tc>
          <w:tcPr>
            <w:tcW w:w="1029" w:type="dxa"/>
            <w:vMerge w:val="continue"/>
            <w:shd w:val="clear" w:color="auto" w:fill="auto"/>
            <w:tcMar>
              <w:top w:w="15" w:type="dxa"/>
              <w:left w:w="15" w:type="dxa"/>
              <w:right w:w="15" w:type="dxa"/>
            </w:tcMar>
            <w:vAlign w:val="center"/>
          </w:tcPr>
          <w:p>
            <w:pPr>
              <w:ind w:firstLine="640"/>
              <w:jc w:val="center"/>
              <w:rPr>
                <w:rFonts w:ascii="仿宋" w:hAnsi="仿宋" w:eastAsia="仿宋" w:cs="仿宋"/>
                <w:color w:val="auto"/>
                <w:szCs w:val="21"/>
                <w:highlight w:val="none"/>
              </w:rPr>
            </w:pPr>
          </w:p>
        </w:tc>
        <w:tc>
          <w:tcPr>
            <w:tcW w:w="1108" w:type="dxa"/>
            <w:tcBorders>
              <w:top w:val="single" w:color="auto" w:sz="4" w:space="0"/>
            </w:tcBorders>
            <w:shd w:val="clear" w:color="auto" w:fill="auto"/>
            <w:tcMar>
              <w:top w:w="15" w:type="dxa"/>
              <w:left w:w="15" w:type="dxa"/>
              <w:right w:w="15" w:type="dxa"/>
            </w:tcMar>
            <w:vAlign w:val="center"/>
          </w:tcPr>
          <w:p>
            <w:pPr>
              <w:ind w:firstLine="640"/>
              <w:jc w:val="center"/>
              <w:rPr>
                <w:rFonts w:ascii="仿宋" w:hAnsi="仿宋" w:eastAsia="仿宋" w:cs="仿宋"/>
                <w:color w:val="auto"/>
                <w:szCs w:val="21"/>
                <w:highlight w:val="none"/>
              </w:rPr>
            </w:pPr>
          </w:p>
        </w:tc>
        <w:tc>
          <w:tcPr>
            <w:tcW w:w="3668" w:type="dxa"/>
            <w:shd w:val="clear" w:color="auto" w:fill="auto"/>
            <w:tcMar>
              <w:top w:w="15" w:type="dxa"/>
              <w:left w:w="15" w:type="dxa"/>
              <w:right w:w="15" w:type="dxa"/>
            </w:tcMar>
            <w:vAlign w:val="center"/>
          </w:tcPr>
          <w:p>
            <w:pPr>
              <w:widowControl/>
              <w:ind w:firstLine="0" w:firstLineChars="0"/>
              <w:jc w:val="left"/>
              <w:textAlignment w:val="center"/>
              <w:rPr>
                <w:rFonts w:hint="eastAsia" w:ascii="仿宋" w:hAnsi="仿宋" w:eastAsia="仿宋" w:cs="仿宋"/>
                <w:color w:val="auto"/>
                <w:kern w:val="0"/>
                <w:szCs w:val="21"/>
                <w:highlight w:val="none"/>
                <w:lang w:val="en-US" w:eastAsia="zh-CN" w:bidi="ar"/>
              </w:rPr>
            </w:pPr>
            <w:r>
              <w:rPr>
                <w:rFonts w:hint="eastAsia" w:ascii="仿宋" w:hAnsi="仿宋" w:eastAsia="仿宋" w:cs="仿宋"/>
                <w:color w:val="auto"/>
                <w:kern w:val="0"/>
                <w:szCs w:val="21"/>
                <w:highlight w:val="none"/>
                <w:lang w:val="en-US" w:eastAsia="zh-CN" w:bidi="ar"/>
              </w:rPr>
              <w:t>申请</w:t>
            </w:r>
            <w:r>
              <w:rPr>
                <w:rFonts w:hint="eastAsia" w:ascii="仿宋" w:hAnsi="仿宋" w:eastAsia="仿宋" w:cs="仿宋"/>
                <w:color w:val="auto"/>
                <w:kern w:val="0"/>
                <w:szCs w:val="21"/>
                <w:highlight w:val="none"/>
                <w:lang w:eastAsia="zh-CN" w:bidi="ar"/>
              </w:rPr>
              <w:t>人</w:t>
            </w:r>
            <w:r>
              <w:rPr>
                <w:rFonts w:hint="eastAsia" w:ascii="仿宋" w:hAnsi="仿宋" w:eastAsia="仿宋" w:cs="仿宋"/>
                <w:color w:val="auto"/>
                <w:kern w:val="0"/>
                <w:szCs w:val="21"/>
                <w:highlight w:val="none"/>
                <w:lang w:bidi="ar"/>
              </w:rPr>
              <w:t>或其关联公司</w:t>
            </w:r>
            <w:r>
              <w:rPr>
                <w:rFonts w:hint="eastAsia" w:ascii="仿宋" w:hAnsi="仿宋" w:eastAsia="仿宋" w:cs="仿宋"/>
                <w:color w:val="auto"/>
                <w:kern w:val="0"/>
                <w:szCs w:val="21"/>
                <w:highlight w:val="none"/>
                <w:lang w:val="en-US" w:eastAsia="zh-CN" w:bidi="ar"/>
              </w:rPr>
              <w:t>获得政府部门认可的</w:t>
            </w:r>
            <w:r>
              <w:rPr>
                <w:rFonts w:hint="eastAsia" w:ascii="仿宋" w:hAnsi="仿宋" w:eastAsia="仿宋" w:cs="仿宋"/>
                <w:color w:val="auto"/>
                <w:kern w:val="0"/>
                <w:szCs w:val="21"/>
                <w:highlight w:val="none"/>
                <w:lang w:eastAsia="zh-CN" w:bidi="ar"/>
              </w:rPr>
              <w:t>专业化、规模化住房租赁企业的，</w:t>
            </w:r>
            <w:r>
              <w:rPr>
                <w:rFonts w:hint="eastAsia" w:ascii="仿宋" w:hAnsi="仿宋" w:eastAsia="仿宋" w:cs="仿宋"/>
                <w:color w:val="auto"/>
                <w:kern w:val="0"/>
                <w:szCs w:val="21"/>
                <w:highlight w:val="none"/>
                <w:lang w:val="en-US" w:eastAsia="zh-CN" w:bidi="ar"/>
              </w:rPr>
              <w:t>得2分</w:t>
            </w:r>
            <w:r>
              <w:rPr>
                <w:rFonts w:hint="eastAsia" w:ascii="仿宋" w:hAnsi="仿宋" w:eastAsia="仿宋" w:cs="仿宋"/>
                <w:color w:val="auto"/>
                <w:kern w:val="0"/>
                <w:szCs w:val="21"/>
                <w:highlight w:val="none"/>
                <w:lang w:eastAsia="zh-CN" w:bidi="ar"/>
              </w:rPr>
              <w:t>。</w:t>
            </w:r>
          </w:p>
        </w:tc>
        <w:tc>
          <w:tcPr>
            <w:tcW w:w="2460" w:type="dxa"/>
            <w:shd w:val="clear" w:color="auto" w:fill="auto"/>
            <w:tcMar>
              <w:top w:w="15" w:type="dxa"/>
              <w:left w:w="15" w:type="dxa"/>
              <w:right w:w="15" w:type="dxa"/>
            </w:tcMar>
            <w:vAlign w:val="center"/>
          </w:tcPr>
          <w:p>
            <w:pPr>
              <w:widowControl/>
              <w:ind w:firstLine="0" w:firstLineChars="0"/>
              <w:jc w:val="left"/>
              <w:textAlignment w:val="center"/>
              <w:rPr>
                <w:rFonts w:hint="eastAsia" w:ascii="仿宋" w:hAnsi="仿宋" w:eastAsia="仿宋" w:cs="仿宋"/>
                <w:color w:val="auto"/>
                <w:kern w:val="0"/>
                <w:szCs w:val="21"/>
                <w:highlight w:val="none"/>
                <w:lang w:eastAsia="zh-CN" w:bidi="ar"/>
              </w:rPr>
            </w:pPr>
            <w:r>
              <w:rPr>
                <w:rFonts w:hint="eastAsia" w:ascii="仿宋" w:hAnsi="仿宋" w:eastAsia="仿宋" w:cs="仿宋"/>
                <w:color w:val="auto"/>
                <w:kern w:val="0"/>
                <w:szCs w:val="21"/>
                <w:highlight w:val="none"/>
                <w:lang w:eastAsia="zh-CN" w:bidi="ar"/>
              </w:rPr>
              <w:t>提供政府</w:t>
            </w:r>
            <w:r>
              <w:rPr>
                <w:rFonts w:hint="eastAsia" w:ascii="仿宋" w:hAnsi="仿宋" w:eastAsia="仿宋" w:cs="仿宋"/>
                <w:color w:val="auto"/>
                <w:kern w:val="0"/>
                <w:szCs w:val="21"/>
                <w:highlight w:val="none"/>
                <w:lang w:val="en-US" w:eastAsia="zh-CN" w:bidi="ar"/>
              </w:rPr>
              <w:t>部门</w:t>
            </w:r>
            <w:r>
              <w:rPr>
                <w:rFonts w:hint="eastAsia" w:ascii="仿宋" w:hAnsi="仿宋" w:eastAsia="仿宋" w:cs="仿宋"/>
                <w:color w:val="auto"/>
                <w:kern w:val="0"/>
                <w:szCs w:val="21"/>
                <w:highlight w:val="none"/>
                <w:lang w:eastAsia="zh-CN" w:bidi="ar"/>
              </w:rPr>
              <w:t>相关认定文件</w:t>
            </w:r>
            <w:r>
              <w:rPr>
                <w:rFonts w:hint="eastAsia" w:ascii="仿宋" w:hAnsi="仿宋" w:eastAsia="仿宋" w:cs="仿宋"/>
                <w:color w:val="auto"/>
                <w:kern w:val="0"/>
                <w:szCs w:val="21"/>
                <w:highlight w:val="none"/>
                <w:lang w:val="en-US" w:eastAsia="zh-CN" w:bidi="ar"/>
              </w:rPr>
              <w:t>或相关证明材料并加盖申请人公章</w:t>
            </w:r>
          </w:p>
        </w:tc>
        <w:tc>
          <w:tcPr>
            <w:tcW w:w="873" w:type="dxa"/>
            <w:shd w:val="clear" w:color="auto" w:fill="auto"/>
            <w:tcMar>
              <w:top w:w="15" w:type="dxa"/>
              <w:left w:w="15" w:type="dxa"/>
              <w:right w:w="15" w:type="dxa"/>
            </w:tcMar>
            <w:vAlign w:val="center"/>
          </w:tcPr>
          <w:p>
            <w:pPr>
              <w:widowControl/>
              <w:ind w:firstLine="0" w:firstLineChars="0"/>
              <w:jc w:val="center"/>
              <w:textAlignment w:val="center"/>
              <w:rPr>
                <w:rFonts w:hint="eastAsia" w:eastAsia="仿宋"/>
                <w:color w:val="auto"/>
                <w:kern w:val="0"/>
                <w:szCs w:val="21"/>
                <w:highlight w:val="none"/>
                <w:lang w:val="en-US" w:eastAsia="zh-CN" w:bidi="ar"/>
              </w:rPr>
            </w:pPr>
            <w:r>
              <w:rPr>
                <w:rFonts w:hint="eastAsia" w:eastAsia="仿宋"/>
                <w:color w:val="auto"/>
                <w:kern w:val="0"/>
                <w:szCs w:val="21"/>
                <w:highlight w:val="none"/>
                <w:lang w:val="en-US" w:eastAsia="zh-CN" w:bidi="ar"/>
              </w:rPr>
              <w:t>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88" w:hRule="atLeast"/>
        </w:trPr>
        <w:tc>
          <w:tcPr>
            <w:tcW w:w="1029" w:type="dxa"/>
            <w:vMerge w:val="continue"/>
            <w:shd w:val="clear" w:color="auto" w:fill="auto"/>
            <w:tcMar>
              <w:top w:w="15" w:type="dxa"/>
              <w:left w:w="15" w:type="dxa"/>
              <w:right w:w="15" w:type="dxa"/>
            </w:tcMar>
            <w:vAlign w:val="center"/>
          </w:tcPr>
          <w:p>
            <w:pPr>
              <w:ind w:firstLine="640"/>
              <w:jc w:val="center"/>
              <w:rPr>
                <w:rFonts w:ascii="仿宋" w:hAnsi="仿宋" w:eastAsia="仿宋" w:cs="仿宋"/>
                <w:color w:val="auto"/>
                <w:szCs w:val="21"/>
                <w:highlight w:val="none"/>
              </w:rPr>
            </w:pPr>
          </w:p>
        </w:tc>
        <w:tc>
          <w:tcPr>
            <w:tcW w:w="1108" w:type="dxa"/>
            <w:vMerge w:val="restart"/>
            <w:shd w:val="clear" w:color="auto" w:fill="auto"/>
            <w:tcMar>
              <w:top w:w="15" w:type="dxa"/>
              <w:left w:w="15" w:type="dxa"/>
              <w:right w:w="15" w:type="dxa"/>
            </w:tcMar>
            <w:vAlign w:val="center"/>
          </w:tcPr>
          <w:p>
            <w:pPr>
              <w:ind w:firstLine="0" w:firstLineChars="0"/>
              <w:jc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运营</w:t>
            </w:r>
            <w:r>
              <w:rPr>
                <w:rFonts w:hint="eastAsia" w:ascii="仿宋" w:hAnsi="仿宋" w:eastAsia="仿宋" w:cs="仿宋"/>
                <w:color w:val="auto"/>
                <w:kern w:val="0"/>
                <w:szCs w:val="21"/>
                <w:highlight w:val="none"/>
                <w:lang w:bidi="ar"/>
              </w:rPr>
              <w:br w:type="textWrapping"/>
            </w:r>
            <w:r>
              <w:rPr>
                <w:rFonts w:hint="eastAsia" w:ascii="仿宋" w:hAnsi="仿宋" w:eastAsia="仿宋" w:cs="仿宋"/>
                <w:color w:val="auto"/>
                <w:kern w:val="0"/>
                <w:szCs w:val="21"/>
                <w:highlight w:val="none"/>
                <w:lang w:bidi="ar"/>
              </w:rPr>
              <w:t>经验（2</w:t>
            </w:r>
            <w:r>
              <w:rPr>
                <w:rFonts w:hint="eastAsia" w:ascii="仿宋" w:hAnsi="仿宋" w:eastAsia="仿宋" w:cs="仿宋"/>
                <w:color w:val="auto"/>
                <w:kern w:val="0"/>
                <w:szCs w:val="21"/>
                <w:highlight w:val="none"/>
                <w:lang w:val="en-US" w:eastAsia="zh-CN" w:bidi="ar"/>
              </w:rPr>
              <w:t>0</w:t>
            </w:r>
            <w:r>
              <w:rPr>
                <w:rFonts w:hint="eastAsia" w:ascii="仿宋" w:hAnsi="仿宋" w:eastAsia="仿宋" w:cs="仿宋"/>
                <w:color w:val="auto"/>
                <w:kern w:val="0"/>
                <w:szCs w:val="21"/>
                <w:highlight w:val="none"/>
                <w:lang w:bidi="ar"/>
              </w:rPr>
              <w:t>分）</w:t>
            </w:r>
          </w:p>
        </w:tc>
        <w:tc>
          <w:tcPr>
            <w:tcW w:w="3668" w:type="dxa"/>
            <w:shd w:val="clear" w:color="auto" w:fill="auto"/>
            <w:tcMar>
              <w:top w:w="15" w:type="dxa"/>
              <w:left w:w="15" w:type="dxa"/>
              <w:right w:w="15" w:type="dxa"/>
            </w:tcMar>
            <w:vAlign w:val="center"/>
          </w:tcPr>
          <w:p>
            <w:pPr>
              <w:widowControl/>
              <w:ind w:firstLine="0" w:firstLineChars="0"/>
              <w:jc w:val="left"/>
              <w:textAlignment w:val="center"/>
              <w:rPr>
                <w:rFonts w:hint="eastAsia" w:ascii="仿宋" w:hAnsi="仿宋" w:eastAsia="仿宋" w:cs="仿宋"/>
                <w:color w:val="auto"/>
                <w:kern w:val="0"/>
                <w:szCs w:val="21"/>
                <w:highlight w:val="none"/>
                <w:lang w:bidi="ar"/>
              </w:rPr>
            </w:pPr>
            <w:r>
              <w:rPr>
                <w:rFonts w:hint="eastAsia" w:ascii="仿宋" w:hAnsi="仿宋" w:eastAsia="仿宋" w:cs="仿宋"/>
                <w:color w:val="auto"/>
                <w:kern w:val="0"/>
                <w:szCs w:val="21"/>
                <w:highlight w:val="none"/>
                <w:lang w:eastAsia="zh-CN" w:bidi="ar"/>
              </w:rPr>
              <w:t>申请人</w:t>
            </w:r>
            <w:r>
              <w:rPr>
                <w:rFonts w:hint="eastAsia" w:ascii="仿宋" w:hAnsi="仿宋" w:eastAsia="仿宋" w:cs="仿宋"/>
                <w:color w:val="auto"/>
                <w:kern w:val="0"/>
                <w:szCs w:val="21"/>
                <w:highlight w:val="none"/>
                <w:lang w:bidi="ar"/>
              </w:rPr>
              <w:t>或其关联公司在全国范围内实际经营长租公寓房间套数：排名第</w:t>
            </w:r>
            <w:r>
              <w:rPr>
                <w:rFonts w:hint="eastAsia" w:ascii="仿宋" w:hAnsi="仿宋" w:eastAsia="仿宋" w:cs="仿宋"/>
                <w:color w:val="auto"/>
                <w:kern w:val="0"/>
                <w:szCs w:val="21"/>
                <w:highlight w:val="none"/>
                <w:lang w:val="en-US" w:eastAsia="zh-CN" w:bidi="ar"/>
              </w:rPr>
              <w:t>1-3</w:t>
            </w:r>
            <w:r>
              <w:rPr>
                <w:rFonts w:hint="eastAsia" w:ascii="仿宋" w:hAnsi="仿宋" w:eastAsia="仿宋" w:cs="仿宋"/>
                <w:color w:val="auto"/>
                <w:kern w:val="0"/>
                <w:szCs w:val="21"/>
                <w:highlight w:val="none"/>
                <w:lang w:bidi="ar"/>
              </w:rPr>
              <w:t>名</w:t>
            </w:r>
            <w:r>
              <w:rPr>
                <w:rFonts w:hint="eastAsia" w:ascii="仿宋" w:hAnsi="仿宋" w:eastAsia="仿宋" w:cs="仿宋"/>
                <w:color w:val="auto"/>
                <w:kern w:val="0"/>
                <w:szCs w:val="21"/>
                <w:highlight w:val="none"/>
                <w:lang w:eastAsia="zh-CN" w:bidi="ar"/>
              </w:rPr>
              <w:t>，</w:t>
            </w:r>
            <w:r>
              <w:rPr>
                <w:rFonts w:hint="eastAsia" w:ascii="仿宋" w:hAnsi="仿宋" w:eastAsia="仿宋" w:cs="仿宋"/>
                <w:color w:val="auto"/>
                <w:kern w:val="0"/>
                <w:szCs w:val="21"/>
                <w:highlight w:val="none"/>
                <w:lang w:bidi="ar"/>
              </w:rPr>
              <w:t>得5分</w:t>
            </w:r>
            <w:r>
              <w:rPr>
                <w:rFonts w:hint="eastAsia" w:ascii="仿宋" w:hAnsi="仿宋" w:eastAsia="仿宋" w:cs="仿宋"/>
                <w:color w:val="auto"/>
                <w:kern w:val="0"/>
                <w:szCs w:val="21"/>
                <w:highlight w:val="none"/>
                <w:lang w:eastAsia="zh-CN" w:bidi="ar"/>
              </w:rPr>
              <w:t>；</w:t>
            </w:r>
            <w:r>
              <w:rPr>
                <w:rFonts w:hint="eastAsia" w:ascii="仿宋" w:hAnsi="仿宋" w:eastAsia="仿宋" w:cs="仿宋"/>
                <w:color w:val="auto"/>
                <w:kern w:val="0"/>
                <w:szCs w:val="21"/>
                <w:highlight w:val="none"/>
                <w:lang w:bidi="ar"/>
              </w:rPr>
              <w:t>第</w:t>
            </w:r>
            <w:r>
              <w:rPr>
                <w:rFonts w:hint="eastAsia" w:ascii="仿宋" w:hAnsi="仿宋" w:eastAsia="仿宋" w:cs="仿宋"/>
                <w:color w:val="auto"/>
                <w:kern w:val="0"/>
                <w:szCs w:val="21"/>
                <w:highlight w:val="none"/>
                <w:lang w:val="en-US" w:eastAsia="zh-CN" w:bidi="ar"/>
              </w:rPr>
              <w:t>4-6</w:t>
            </w:r>
            <w:r>
              <w:rPr>
                <w:rFonts w:hint="eastAsia" w:ascii="仿宋" w:hAnsi="仿宋" w:eastAsia="仿宋" w:cs="仿宋"/>
                <w:color w:val="auto"/>
                <w:kern w:val="0"/>
                <w:szCs w:val="21"/>
                <w:highlight w:val="none"/>
                <w:lang w:bidi="ar"/>
              </w:rPr>
              <w:t>名</w:t>
            </w:r>
            <w:r>
              <w:rPr>
                <w:rFonts w:hint="eastAsia" w:ascii="仿宋" w:hAnsi="仿宋" w:eastAsia="仿宋" w:cs="仿宋"/>
                <w:color w:val="auto"/>
                <w:kern w:val="0"/>
                <w:szCs w:val="21"/>
                <w:highlight w:val="none"/>
                <w:lang w:eastAsia="zh-CN" w:bidi="ar"/>
              </w:rPr>
              <w:t>，</w:t>
            </w:r>
            <w:r>
              <w:rPr>
                <w:rFonts w:hint="eastAsia" w:ascii="仿宋" w:hAnsi="仿宋" w:eastAsia="仿宋" w:cs="仿宋"/>
                <w:color w:val="auto"/>
                <w:kern w:val="0"/>
                <w:szCs w:val="21"/>
                <w:highlight w:val="none"/>
                <w:lang w:val="en-US" w:eastAsia="zh-CN" w:bidi="ar"/>
              </w:rPr>
              <w:t>得4</w:t>
            </w:r>
            <w:r>
              <w:rPr>
                <w:rFonts w:hint="eastAsia" w:ascii="仿宋" w:hAnsi="仿宋" w:eastAsia="仿宋" w:cs="仿宋"/>
                <w:color w:val="auto"/>
                <w:kern w:val="0"/>
                <w:szCs w:val="21"/>
                <w:highlight w:val="none"/>
                <w:lang w:bidi="ar"/>
              </w:rPr>
              <w:t>分</w:t>
            </w:r>
            <w:r>
              <w:rPr>
                <w:rFonts w:hint="eastAsia" w:ascii="仿宋" w:hAnsi="仿宋" w:eastAsia="仿宋" w:cs="仿宋"/>
                <w:color w:val="auto"/>
                <w:kern w:val="0"/>
                <w:szCs w:val="21"/>
                <w:highlight w:val="none"/>
                <w:lang w:eastAsia="zh-CN" w:bidi="ar"/>
              </w:rPr>
              <w:t>；</w:t>
            </w:r>
            <w:r>
              <w:rPr>
                <w:rFonts w:hint="eastAsia" w:ascii="仿宋" w:hAnsi="仿宋" w:eastAsia="仿宋" w:cs="仿宋"/>
                <w:color w:val="auto"/>
                <w:kern w:val="0"/>
                <w:szCs w:val="21"/>
                <w:highlight w:val="none"/>
                <w:lang w:bidi="ar"/>
              </w:rPr>
              <w:t>第</w:t>
            </w:r>
            <w:r>
              <w:rPr>
                <w:rFonts w:hint="eastAsia" w:ascii="仿宋" w:hAnsi="仿宋" w:eastAsia="仿宋" w:cs="仿宋"/>
                <w:color w:val="auto"/>
                <w:kern w:val="0"/>
                <w:szCs w:val="21"/>
                <w:highlight w:val="none"/>
                <w:lang w:val="en-US" w:eastAsia="zh-CN" w:bidi="ar"/>
              </w:rPr>
              <w:t>7-9</w:t>
            </w:r>
            <w:r>
              <w:rPr>
                <w:rFonts w:hint="eastAsia" w:ascii="仿宋" w:hAnsi="仿宋" w:eastAsia="仿宋" w:cs="仿宋"/>
                <w:color w:val="auto"/>
                <w:kern w:val="0"/>
                <w:szCs w:val="21"/>
                <w:highlight w:val="none"/>
                <w:lang w:bidi="ar"/>
              </w:rPr>
              <w:t>名</w:t>
            </w:r>
            <w:r>
              <w:rPr>
                <w:rFonts w:hint="eastAsia" w:ascii="仿宋" w:hAnsi="仿宋" w:eastAsia="仿宋" w:cs="仿宋"/>
                <w:color w:val="auto"/>
                <w:kern w:val="0"/>
                <w:szCs w:val="21"/>
                <w:highlight w:val="none"/>
                <w:lang w:eastAsia="zh-CN" w:bidi="ar"/>
              </w:rPr>
              <w:t>，</w:t>
            </w:r>
            <w:r>
              <w:rPr>
                <w:rFonts w:hint="eastAsia" w:ascii="仿宋" w:hAnsi="仿宋" w:eastAsia="仿宋" w:cs="仿宋"/>
                <w:color w:val="auto"/>
                <w:kern w:val="0"/>
                <w:szCs w:val="21"/>
                <w:highlight w:val="none"/>
                <w:lang w:val="en-US" w:eastAsia="zh-CN" w:bidi="ar"/>
              </w:rPr>
              <w:t>得3</w:t>
            </w:r>
            <w:r>
              <w:rPr>
                <w:rFonts w:hint="eastAsia" w:ascii="仿宋" w:hAnsi="仿宋" w:eastAsia="仿宋" w:cs="仿宋"/>
                <w:color w:val="auto"/>
                <w:kern w:val="0"/>
                <w:szCs w:val="21"/>
                <w:highlight w:val="none"/>
                <w:lang w:bidi="ar"/>
              </w:rPr>
              <w:t>分</w:t>
            </w:r>
            <w:r>
              <w:rPr>
                <w:rFonts w:hint="eastAsia" w:ascii="仿宋" w:hAnsi="仿宋" w:eastAsia="仿宋" w:cs="仿宋"/>
                <w:color w:val="auto"/>
                <w:kern w:val="0"/>
                <w:szCs w:val="21"/>
                <w:highlight w:val="none"/>
                <w:lang w:eastAsia="zh-CN" w:bidi="ar"/>
              </w:rPr>
              <w:t>；</w:t>
            </w:r>
            <w:r>
              <w:rPr>
                <w:rFonts w:hint="eastAsia" w:ascii="仿宋" w:hAnsi="仿宋" w:eastAsia="仿宋" w:cs="仿宋"/>
                <w:color w:val="auto"/>
                <w:kern w:val="0"/>
                <w:szCs w:val="21"/>
                <w:highlight w:val="none"/>
                <w:lang w:bidi="ar"/>
              </w:rPr>
              <w:t>第</w:t>
            </w:r>
            <w:r>
              <w:rPr>
                <w:rFonts w:hint="eastAsia" w:ascii="仿宋" w:hAnsi="仿宋" w:eastAsia="仿宋" w:cs="仿宋"/>
                <w:color w:val="auto"/>
                <w:kern w:val="0"/>
                <w:szCs w:val="21"/>
                <w:highlight w:val="none"/>
                <w:lang w:val="en-US" w:eastAsia="zh-CN" w:bidi="ar"/>
              </w:rPr>
              <w:t>10-12</w:t>
            </w:r>
            <w:r>
              <w:rPr>
                <w:rFonts w:hint="eastAsia" w:ascii="仿宋" w:hAnsi="仿宋" w:eastAsia="仿宋" w:cs="仿宋"/>
                <w:color w:val="auto"/>
                <w:kern w:val="0"/>
                <w:szCs w:val="21"/>
                <w:highlight w:val="none"/>
                <w:lang w:bidi="ar"/>
              </w:rPr>
              <w:t>名</w:t>
            </w:r>
            <w:r>
              <w:rPr>
                <w:rFonts w:hint="eastAsia" w:ascii="仿宋" w:hAnsi="仿宋" w:eastAsia="仿宋" w:cs="仿宋"/>
                <w:color w:val="auto"/>
                <w:kern w:val="0"/>
                <w:szCs w:val="21"/>
                <w:highlight w:val="none"/>
                <w:lang w:eastAsia="zh-CN" w:bidi="ar"/>
              </w:rPr>
              <w:t>，</w:t>
            </w:r>
            <w:r>
              <w:rPr>
                <w:rFonts w:hint="eastAsia" w:ascii="仿宋" w:hAnsi="仿宋" w:eastAsia="仿宋" w:cs="仿宋"/>
                <w:color w:val="auto"/>
                <w:kern w:val="0"/>
                <w:szCs w:val="21"/>
                <w:highlight w:val="none"/>
                <w:lang w:val="en-US" w:eastAsia="zh-CN" w:bidi="ar"/>
              </w:rPr>
              <w:t>得2</w:t>
            </w:r>
            <w:r>
              <w:rPr>
                <w:rFonts w:hint="eastAsia" w:ascii="仿宋" w:hAnsi="仿宋" w:eastAsia="仿宋" w:cs="仿宋"/>
                <w:color w:val="auto"/>
                <w:kern w:val="0"/>
                <w:szCs w:val="21"/>
                <w:highlight w:val="none"/>
                <w:lang w:bidi="ar"/>
              </w:rPr>
              <w:t>分</w:t>
            </w:r>
            <w:r>
              <w:rPr>
                <w:rFonts w:hint="eastAsia" w:ascii="仿宋" w:hAnsi="仿宋" w:eastAsia="仿宋" w:cs="仿宋"/>
                <w:color w:val="auto"/>
                <w:kern w:val="0"/>
                <w:szCs w:val="21"/>
                <w:highlight w:val="none"/>
                <w:lang w:eastAsia="zh-CN" w:bidi="ar"/>
              </w:rPr>
              <w:t>；</w:t>
            </w:r>
            <w:r>
              <w:rPr>
                <w:rFonts w:hint="eastAsia" w:ascii="仿宋" w:hAnsi="仿宋" w:eastAsia="仿宋" w:cs="仿宋"/>
                <w:color w:val="auto"/>
                <w:kern w:val="0"/>
                <w:szCs w:val="21"/>
                <w:highlight w:val="none"/>
                <w:lang w:bidi="ar"/>
              </w:rPr>
              <w:t>第</w:t>
            </w:r>
            <w:r>
              <w:rPr>
                <w:rFonts w:hint="eastAsia" w:ascii="仿宋" w:hAnsi="仿宋" w:eastAsia="仿宋" w:cs="仿宋"/>
                <w:color w:val="auto"/>
                <w:kern w:val="0"/>
                <w:szCs w:val="21"/>
                <w:highlight w:val="none"/>
                <w:lang w:val="en-US" w:eastAsia="zh-CN" w:bidi="ar"/>
              </w:rPr>
              <w:t>13-15</w:t>
            </w:r>
            <w:r>
              <w:rPr>
                <w:rFonts w:hint="eastAsia" w:ascii="仿宋" w:hAnsi="仿宋" w:eastAsia="仿宋" w:cs="仿宋"/>
                <w:color w:val="auto"/>
                <w:kern w:val="0"/>
                <w:szCs w:val="21"/>
                <w:highlight w:val="none"/>
                <w:lang w:bidi="ar"/>
              </w:rPr>
              <w:t>名</w:t>
            </w:r>
            <w:r>
              <w:rPr>
                <w:rFonts w:hint="eastAsia" w:ascii="仿宋" w:hAnsi="仿宋" w:eastAsia="仿宋" w:cs="仿宋"/>
                <w:color w:val="auto"/>
                <w:kern w:val="0"/>
                <w:szCs w:val="21"/>
                <w:highlight w:val="none"/>
                <w:lang w:eastAsia="zh-CN" w:bidi="ar"/>
              </w:rPr>
              <w:t>，</w:t>
            </w:r>
            <w:r>
              <w:rPr>
                <w:rFonts w:hint="eastAsia" w:ascii="仿宋" w:hAnsi="仿宋" w:eastAsia="仿宋" w:cs="仿宋"/>
                <w:color w:val="auto"/>
                <w:kern w:val="0"/>
                <w:szCs w:val="21"/>
                <w:highlight w:val="none"/>
                <w:lang w:val="en-US" w:eastAsia="zh-CN" w:bidi="ar"/>
              </w:rPr>
              <w:t>得1</w:t>
            </w:r>
            <w:r>
              <w:rPr>
                <w:rFonts w:hint="eastAsia" w:ascii="仿宋" w:hAnsi="仿宋" w:eastAsia="仿宋" w:cs="仿宋"/>
                <w:color w:val="auto"/>
                <w:kern w:val="0"/>
                <w:szCs w:val="21"/>
                <w:highlight w:val="none"/>
                <w:lang w:bidi="ar"/>
              </w:rPr>
              <w:t>分</w:t>
            </w:r>
            <w:r>
              <w:rPr>
                <w:rFonts w:hint="eastAsia" w:ascii="仿宋" w:hAnsi="仿宋" w:eastAsia="仿宋" w:cs="仿宋"/>
                <w:color w:val="auto"/>
                <w:kern w:val="0"/>
                <w:szCs w:val="21"/>
                <w:highlight w:val="none"/>
                <w:lang w:eastAsia="zh-CN" w:bidi="ar"/>
              </w:rPr>
              <w:t>；</w:t>
            </w:r>
            <w:r>
              <w:rPr>
                <w:rFonts w:hint="eastAsia" w:ascii="仿宋" w:hAnsi="仿宋" w:eastAsia="仿宋" w:cs="仿宋"/>
                <w:color w:val="auto"/>
                <w:kern w:val="0"/>
                <w:szCs w:val="21"/>
                <w:highlight w:val="none"/>
                <w:lang w:val="en-US" w:eastAsia="zh-CN" w:bidi="ar"/>
              </w:rPr>
              <w:t>第16名</w:t>
            </w:r>
            <w:r>
              <w:rPr>
                <w:rFonts w:hint="eastAsia" w:ascii="仿宋" w:hAnsi="仿宋" w:eastAsia="仿宋" w:cs="仿宋"/>
                <w:color w:val="auto"/>
                <w:kern w:val="0"/>
                <w:szCs w:val="21"/>
                <w:highlight w:val="none"/>
                <w:lang w:bidi="ar"/>
              </w:rPr>
              <w:t>及以后不得分。</w:t>
            </w:r>
          </w:p>
        </w:tc>
        <w:tc>
          <w:tcPr>
            <w:tcW w:w="2460" w:type="dxa"/>
            <w:shd w:val="clear" w:color="auto" w:fill="auto"/>
            <w:tcMar>
              <w:top w:w="15" w:type="dxa"/>
              <w:left w:w="15" w:type="dxa"/>
              <w:right w:w="15" w:type="dxa"/>
            </w:tcMar>
            <w:vAlign w:val="center"/>
          </w:tcPr>
          <w:p>
            <w:pPr>
              <w:widowControl/>
              <w:ind w:firstLine="0" w:firstLineChars="0"/>
              <w:jc w:val="left"/>
              <w:textAlignment w:val="center"/>
              <w:rPr>
                <w:rFonts w:ascii="仿宋" w:hAnsi="仿宋" w:eastAsia="仿宋" w:cs="仿宋"/>
                <w:color w:val="auto"/>
                <w:kern w:val="0"/>
                <w:szCs w:val="21"/>
                <w:highlight w:val="none"/>
                <w:lang w:bidi="ar"/>
              </w:rPr>
            </w:pPr>
            <w:r>
              <w:rPr>
                <w:rFonts w:hint="eastAsia" w:ascii="仿宋" w:hAnsi="仿宋" w:eastAsia="仿宋" w:cs="仿宋"/>
                <w:color w:val="auto"/>
                <w:kern w:val="0"/>
                <w:szCs w:val="21"/>
                <w:highlight w:val="none"/>
                <w:lang w:bidi="ar"/>
              </w:rPr>
              <w:t>提供克而瑞</w:t>
            </w:r>
            <w:r>
              <w:rPr>
                <w:rFonts w:hint="eastAsia" w:ascii="仿宋" w:hAnsi="仿宋" w:eastAsia="仿宋" w:cs="仿宋"/>
                <w:color w:val="auto"/>
                <w:kern w:val="0"/>
                <w:szCs w:val="21"/>
                <w:highlight w:val="none"/>
                <w:lang w:val="en-US" w:eastAsia="zh-CN" w:bidi="ar"/>
              </w:rPr>
              <w:t>租售《2022年度租赁企业运营规模排行Q4开业规模榜》截图页并加盖申请人公章</w:t>
            </w:r>
          </w:p>
        </w:tc>
        <w:tc>
          <w:tcPr>
            <w:tcW w:w="873" w:type="dxa"/>
            <w:shd w:val="clear" w:color="auto" w:fill="auto"/>
            <w:tcMar>
              <w:top w:w="15" w:type="dxa"/>
              <w:left w:w="15" w:type="dxa"/>
              <w:right w:w="15" w:type="dxa"/>
            </w:tcMar>
            <w:vAlign w:val="center"/>
          </w:tcPr>
          <w:p>
            <w:pPr>
              <w:widowControl/>
              <w:ind w:firstLine="0" w:firstLineChars="0"/>
              <w:jc w:val="center"/>
              <w:textAlignment w:val="center"/>
              <w:rPr>
                <w:rFonts w:eastAsia="仿宋"/>
                <w:color w:val="auto"/>
                <w:kern w:val="0"/>
                <w:szCs w:val="21"/>
                <w:highlight w:val="none"/>
                <w:lang w:bidi="ar"/>
              </w:rPr>
            </w:pPr>
            <w:r>
              <w:rPr>
                <w:rFonts w:hint="eastAsia" w:eastAsia="仿宋"/>
                <w:color w:val="auto"/>
                <w:kern w:val="0"/>
                <w:szCs w:val="21"/>
                <w:highlight w:val="none"/>
                <w:lang w:bidi="ar"/>
              </w:rPr>
              <w:t>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805" w:hRule="atLeast"/>
        </w:trPr>
        <w:tc>
          <w:tcPr>
            <w:tcW w:w="1029" w:type="dxa"/>
            <w:vMerge w:val="continue"/>
            <w:shd w:val="clear" w:color="auto" w:fill="auto"/>
            <w:tcMar>
              <w:top w:w="15" w:type="dxa"/>
              <w:left w:w="15" w:type="dxa"/>
              <w:right w:w="15" w:type="dxa"/>
            </w:tcMar>
            <w:vAlign w:val="center"/>
          </w:tcPr>
          <w:p>
            <w:pPr>
              <w:ind w:firstLine="640"/>
              <w:jc w:val="center"/>
              <w:rPr>
                <w:rFonts w:ascii="仿宋" w:hAnsi="仿宋" w:eastAsia="仿宋" w:cs="仿宋"/>
                <w:color w:val="auto"/>
                <w:szCs w:val="21"/>
                <w:highlight w:val="none"/>
              </w:rPr>
            </w:pPr>
          </w:p>
        </w:tc>
        <w:tc>
          <w:tcPr>
            <w:tcW w:w="1108" w:type="dxa"/>
            <w:vMerge w:val="continue"/>
            <w:shd w:val="clear" w:color="auto" w:fill="auto"/>
            <w:tcMar>
              <w:top w:w="15" w:type="dxa"/>
              <w:left w:w="15" w:type="dxa"/>
              <w:right w:w="15" w:type="dxa"/>
            </w:tcMar>
            <w:vAlign w:val="center"/>
          </w:tcPr>
          <w:p>
            <w:pPr>
              <w:ind w:firstLine="0" w:firstLineChars="0"/>
              <w:jc w:val="center"/>
              <w:rPr>
                <w:rFonts w:hint="eastAsia" w:ascii="仿宋" w:hAnsi="仿宋" w:eastAsia="仿宋" w:cs="仿宋"/>
                <w:color w:val="auto"/>
                <w:kern w:val="0"/>
                <w:szCs w:val="21"/>
                <w:highlight w:val="none"/>
                <w:lang w:bidi="ar"/>
              </w:rPr>
            </w:pPr>
          </w:p>
        </w:tc>
        <w:tc>
          <w:tcPr>
            <w:tcW w:w="3668" w:type="dxa"/>
            <w:shd w:val="clear" w:color="auto" w:fill="auto"/>
            <w:tcMar>
              <w:top w:w="15" w:type="dxa"/>
              <w:left w:w="15" w:type="dxa"/>
              <w:right w:w="15" w:type="dxa"/>
            </w:tcMar>
            <w:vAlign w:val="center"/>
          </w:tcPr>
          <w:p>
            <w:pPr>
              <w:widowControl/>
              <w:ind w:firstLine="0" w:firstLineChars="0"/>
              <w:jc w:val="left"/>
              <w:textAlignment w:val="center"/>
              <w:rPr>
                <w:rFonts w:hint="eastAsia" w:ascii="仿宋" w:hAnsi="仿宋" w:eastAsia="仿宋" w:cs="仿宋"/>
                <w:color w:val="auto"/>
                <w:kern w:val="0"/>
                <w:szCs w:val="21"/>
                <w:highlight w:val="none"/>
                <w:lang w:bidi="ar"/>
              </w:rPr>
            </w:pPr>
            <w:r>
              <w:rPr>
                <w:rFonts w:hint="eastAsia" w:ascii="仿宋" w:hAnsi="仿宋" w:eastAsia="仿宋" w:cs="仿宋"/>
                <w:color w:val="auto"/>
                <w:kern w:val="0"/>
                <w:szCs w:val="21"/>
                <w:highlight w:val="none"/>
                <w:lang w:eastAsia="zh-CN" w:bidi="ar"/>
              </w:rPr>
              <w:t>申请人</w:t>
            </w:r>
            <w:r>
              <w:rPr>
                <w:rFonts w:hint="eastAsia" w:ascii="仿宋" w:hAnsi="仿宋" w:eastAsia="仿宋" w:cs="仿宋"/>
                <w:color w:val="auto"/>
                <w:kern w:val="0"/>
                <w:szCs w:val="21"/>
                <w:highlight w:val="none"/>
                <w:lang w:bidi="ar"/>
              </w:rPr>
              <w:t>在长沙行政</w:t>
            </w:r>
            <w:r>
              <w:rPr>
                <w:rFonts w:hint="eastAsia" w:ascii="仿宋" w:hAnsi="仿宋" w:eastAsia="仿宋" w:cs="仿宋"/>
                <w:color w:val="auto"/>
                <w:kern w:val="0"/>
                <w:szCs w:val="21"/>
                <w:highlight w:val="none"/>
                <w:lang w:val="en-US" w:eastAsia="zh-CN" w:bidi="ar"/>
              </w:rPr>
              <w:t>区域</w:t>
            </w:r>
            <w:r>
              <w:rPr>
                <w:rFonts w:hint="eastAsia" w:ascii="仿宋" w:hAnsi="仿宋" w:eastAsia="仿宋" w:cs="仿宋"/>
                <w:color w:val="auto"/>
                <w:kern w:val="0"/>
                <w:szCs w:val="21"/>
                <w:highlight w:val="none"/>
                <w:lang w:bidi="ar"/>
              </w:rPr>
              <w:t>范围内有</w:t>
            </w:r>
            <w:r>
              <w:rPr>
                <w:rFonts w:hint="eastAsia" w:ascii="仿宋" w:hAnsi="仿宋" w:eastAsia="仿宋" w:cs="仿宋"/>
                <w:color w:val="auto"/>
                <w:kern w:val="0"/>
                <w:szCs w:val="21"/>
                <w:highlight w:val="none"/>
                <w:lang w:val="en-US" w:eastAsia="zh-CN" w:bidi="ar"/>
              </w:rPr>
              <w:t>大体量</w:t>
            </w:r>
            <w:r>
              <w:rPr>
                <w:rFonts w:hint="eastAsia" w:ascii="仿宋" w:hAnsi="仿宋" w:eastAsia="仿宋" w:cs="仿宋"/>
                <w:color w:val="auto"/>
                <w:kern w:val="0"/>
                <w:szCs w:val="21"/>
                <w:highlight w:val="none"/>
                <w:lang w:bidi="ar"/>
              </w:rPr>
              <w:t>集中式公寓项目</w:t>
            </w:r>
            <w:r>
              <w:rPr>
                <w:rFonts w:hint="eastAsia" w:ascii="仿宋" w:hAnsi="仿宋" w:eastAsia="仿宋" w:cs="仿宋"/>
                <w:color w:val="auto"/>
                <w:kern w:val="0"/>
                <w:szCs w:val="21"/>
                <w:highlight w:val="none"/>
                <w:lang w:val="en-US" w:eastAsia="zh-CN" w:bidi="ar"/>
              </w:rPr>
              <w:t>开业</w:t>
            </w:r>
            <w:r>
              <w:rPr>
                <w:rFonts w:hint="eastAsia" w:ascii="仿宋" w:hAnsi="仿宋" w:eastAsia="仿宋" w:cs="仿宋"/>
                <w:color w:val="auto"/>
                <w:kern w:val="0"/>
                <w:szCs w:val="21"/>
                <w:highlight w:val="none"/>
                <w:lang w:bidi="ar"/>
              </w:rPr>
              <w:t>运营经验</w:t>
            </w:r>
            <w:r>
              <w:rPr>
                <w:rFonts w:hint="eastAsia" w:ascii="仿宋" w:hAnsi="仿宋" w:eastAsia="仿宋" w:cs="仿宋"/>
                <w:color w:val="auto"/>
                <w:kern w:val="0"/>
                <w:szCs w:val="21"/>
                <w:highlight w:val="none"/>
                <w:lang w:eastAsia="zh-CN" w:bidi="ar"/>
              </w:rPr>
              <w:t>的</w:t>
            </w:r>
            <w:r>
              <w:rPr>
                <w:rFonts w:hint="eastAsia" w:ascii="仿宋" w:hAnsi="仿宋" w:eastAsia="仿宋" w:cs="仿宋"/>
                <w:color w:val="auto"/>
                <w:kern w:val="0"/>
                <w:szCs w:val="21"/>
                <w:highlight w:val="none"/>
                <w:lang w:val="en-US" w:eastAsia="zh-CN" w:bidi="ar"/>
              </w:rPr>
              <w:t>，每有一个</w:t>
            </w:r>
            <w:r>
              <w:rPr>
                <w:rFonts w:hint="eastAsia" w:ascii="仿宋" w:hAnsi="仿宋" w:eastAsia="仿宋" w:cs="仿宋"/>
                <w:color w:val="auto"/>
                <w:kern w:val="0"/>
                <w:szCs w:val="21"/>
                <w:highlight w:val="none"/>
                <w:lang w:bidi="ar"/>
              </w:rPr>
              <w:t>单体项目≥5</w:t>
            </w:r>
            <w:r>
              <w:rPr>
                <w:rFonts w:ascii="仿宋" w:hAnsi="仿宋" w:eastAsia="仿宋" w:cs="仿宋"/>
                <w:color w:val="auto"/>
                <w:kern w:val="0"/>
                <w:szCs w:val="21"/>
                <w:highlight w:val="none"/>
                <w:lang w:bidi="ar"/>
              </w:rPr>
              <w:t>00</w:t>
            </w:r>
            <w:r>
              <w:rPr>
                <w:rFonts w:hint="eastAsia" w:ascii="仿宋" w:hAnsi="仿宋" w:eastAsia="仿宋" w:cs="仿宋"/>
                <w:color w:val="auto"/>
                <w:kern w:val="0"/>
                <w:szCs w:val="21"/>
                <w:highlight w:val="none"/>
                <w:lang w:bidi="ar"/>
              </w:rPr>
              <w:t>间</w:t>
            </w:r>
            <w:r>
              <w:rPr>
                <w:rFonts w:hint="eastAsia" w:ascii="仿宋" w:hAnsi="仿宋" w:eastAsia="仿宋" w:cs="仿宋"/>
                <w:color w:val="auto"/>
                <w:kern w:val="0"/>
                <w:szCs w:val="21"/>
                <w:highlight w:val="none"/>
                <w:lang w:eastAsia="zh-CN" w:bidi="ar"/>
              </w:rPr>
              <w:t>的，</w:t>
            </w:r>
            <w:r>
              <w:rPr>
                <w:rFonts w:hint="eastAsia" w:ascii="仿宋" w:hAnsi="仿宋" w:eastAsia="仿宋" w:cs="仿宋"/>
                <w:color w:val="auto"/>
                <w:kern w:val="0"/>
                <w:szCs w:val="21"/>
                <w:highlight w:val="none"/>
                <w:lang w:val="en-US" w:eastAsia="zh-CN" w:bidi="ar"/>
              </w:rPr>
              <w:t>得4分；500间＞</w:t>
            </w:r>
            <w:r>
              <w:rPr>
                <w:rFonts w:hint="eastAsia" w:ascii="仿宋" w:hAnsi="仿宋" w:eastAsia="仿宋" w:cs="仿宋"/>
                <w:color w:val="auto"/>
                <w:kern w:val="0"/>
                <w:szCs w:val="21"/>
                <w:highlight w:val="none"/>
                <w:lang w:bidi="ar"/>
              </w:rPr>
              <w:t>单体项目≥</w:t>
            </w:r>
            <w:r>
              <w:rPr>
                <w:rFonts w:ascii="仿宋" w:hAnsi="仿宋" w:eastAsia="仿宋" w:cs="仿宋"/>
                <w:color w:val="auto"/>
                <w:kern w:val="0"/>
                <w:szCs w:val="21"/>
                <w:highlight w:val="none"/>
                <w:lang w:bidi="ar"/>
              </w:rPr>
              <w:t>200</w:t>
            </w:r>
            <w:r>
              <w:rPr>
                <w:rFonts w:hint="eastAsia" w:ascii="仿宋" w:hAnsi="仿宋" w:eastAsia="仿宋" w:cs="仿宋"/>
                <w:color w:val="auto"/>
                <w:kern w:val="0"/>
                <w:szCs w:val="21"/>
                <w:highlight w:val="none"/>
                <w:lang w:bidi="ar"/>
              </w:rPr>
              <w:t>间</w:t>
            </w:r>
            <w:r>
              <w:rPr>
                <w:rFonts w:hint="eastAsia" w:ascii="仿宋" w:hAnsi="仿宋" w:eastAsia="仿宋" w:cs="仿宋"/>
                <w:color w:val="auto"/>
                <w:kern w:val="0"/>
                <w:szCs w:val="21"/>
                <w:highlight w:val="none"/>
                <w:lang w:eastAsia="zh-CN" w:bidi="ar"/>
              </w:rPr>
              <w:t>的</w:t>
            </w:r>
            <w:r>
              <w:rPr>
                <w:rFonts w:hint="eastAsia" w:ascii="仿宋" w:hAnsi="仿宋" w:eastAsia="仿宋" w:cs="仿宋"/>
                <w:color w:val="auto"/>
                <w:kern w:val="0"/>
                <w:szCs w:val="21"/>
                <w:highlight w:val="none"/>
                <w:lang w:bidi="ar"/>
              </w:rPr>
              <w:t>，</w:t>
            </w:r>
            <w:r>
              <w:rPr>
                <w:rFonts w:hint="eastAsia" w:ascii="仿宋" w:hAnsi="仿宋" w:eastAsia="仿宋" w:cs="仿宋"/>
                <w:color w:val="auto"/>
                <w:kern w:val="0"/>
                <w:szCs w:val="21"/>
                <w:highlight w:val="none"/>
                <w:lang w:val="en-US" w:eastAsia="zh-CN" w:bidi="ar"/>
              </w:rPr>
              <w:t>得3分；</w:t>
            </w:r>
            <w:r>
              <w:rPr>
                <w:rFonts w:hint="eastAsia" w:ascii="仿宋" w:hAnsi="仿宋" w:eastAsia="仿宋" w:cs="仿宋"/>
                <w:color w:val="auto"/>
                <w:kern w:val="0"/>
                <w:szCs w:val="21"/>
                <w:highlight w:val="none"/>
                <w:lang w:bidi="ar"/>
              </w:rPr>
              <w:t>单体项目＜</w:t>
            </w:r>
            <w:r>
              <w:rPr>
                <w:rFonts w:ascii="仿宋" w:hAnsi="仿宋" w:eastAsia="仿宋" w:cs="仿宋"/>
                <w:color w:val="auto"/>
                <w:kern w:val="0"/>
                <w:szCs w:val="21"/>
                <w:highlight w:val="none"/>
                <w:lang w:bidi="ar"/>
              </w:rPr>
              <w:t>200</w:t>
            </w:r>
            <w:r>
              <w:rPr>
                <w:rFonts w:hint="eastAsia" w:ascii="仿宋" w:hAnsi="仿宋" w:eastAsia="仿宋" w:cs="仿宋"/>
                <w:color w:val="auto"/>
                <w:kern w:val="0"/>
                <w:szCs w:val="21"/>
                <w:highlight w:val="none"/>
                <w:lang w:val="en-US" w:eastAsia="zh-CN" w:bidi="ar"/>
              </w:rPr>
              <w:t>间</w:t>
            </w:r>
            <w:r>
              <w:rPr>
                <w:rFonts w:hint="eastAsia" w:ascii="仿宋" w:hAnsi="仿宋" w:eastAsia="仿宋" w:cs="仿宋"/>
                <w:color w:val="auto"/>
                <w:kern w:val="0"/>
                <w:szCs w:val="21"/>
                <w:highlight w:val="none"/>
                <w:lang w:eastAsia="zh-CN" w:bidi="ar"/>
              </w:rPr>
              <w:t>的，</w:t>
            </w:r>
            <w:r>
              <w:rPr>
                <w:rFonts w:hint="eastAsia" w:ascii="仿宋" w:hAnsi="仿宋" w:eastAsia="仿宋" w:cs="仿宋"/>
                <w:color w:val="auto"/>
                <w:kern w:val="0"/>
                <w:szCs w:val="21"/>
                <w:highlight w:val="none"/>
                <w:lang w:val="en-US" w:eastAsia="zh-CN" w:bidi="ar"/>
              </w:rPr>
              <w:t>得2</w:t>
            </w:r>
            <w:r>
              <w:rPr>
                <w:rFonts w:hint="eastAsia" w:ascii="仿宋" w:hAnsi="仿宋" w:eastAsia="仿宋" w:cs="仿宋"/>
                <w:color w:val="auto"/>
                <w:kern w:val="0"/>
                <w:szCs w:val="21"/>
                <w:highlight w:val="none"/>
                <w:lang w:bidi="ar"/>
              </w:rPr>
              <w:t>分</w:t>
            </w:r>
            <w:r>
              <w:rPr>
                <w:rFonts w:hint="eastAsia" w:ascii="仿宋" w:hAnsi="仿宋" w:eastAsia="仿宋" w:cs="仿宋"/>
                <w:color w:val="auto"/>
                <w:kern w:val="0"/>
                <w:szCs w:val="21"/>
                <w:highlight w:val="none"/>
                <w:lang w:eastAsia="zh-CN" w:bidi="ar"/>
              </w:rPr>
              <w:t>。</w:t>
            </w:r>
            <w:r>
              <w:rPr>
                <w:rFonts w:hint="eastAsia" w:ascii="仿宋" w:hAnsi="仿宋" w:eastAsia="仿宋" w:cs="仿宋"/>
                <w:color w:val="auto"/>
                <w:kern w:val="0"/>
                <w:szCs w:val="21"/>
                <w:highlight w:val="none"/>
                <w:lang w:val="en-US" w:eastAsia="zh-CN" w:bidi="ar"/>
              </w:rPr>
              <w:t>本项</w:t>
            </w:r>
            <w:r>
              <w:rPr>
                <w:rFonts w:hint="eastAsia" w:ascii="仿宋" w:hAnsi="仿宋" w:eastAsia="仿宋" w:cs="仿宋"/>
                <w:color w:val="auto"/>
                <w:kern w:val="0"/>
                <w:szCs w:val="21"/>
                <w:highlight w:val="none"/>
                <w:lang w:bidi="ar"/>
              </w:rPr>
              <w:t>最多计</w:t>
            </w:r>
            <w:r>
              <w:rPr>
                <w:rFonts w:ascii="仿宋" w:hAnsi="仿宋" w:eastAsia="仿宋" w:cs="仿宋"/>
                <w:color w:val="auto"/>
                <w:kern w:val="0"/>
                <w:szCs w:val="21"/>
                <w:highlight w:val="none"/>
                <w:lang w:bidi="ar"/>
              </w:rPr>
              <w:t>2</w:t>
            </w:r>
            <w:r>
              <w:rPr>
                <w:rFonts w:hint="eastAsia" w:ascii="仿宋" w:hAnsi="仿宋" w:eastAsia="仿宋" w:cs="仿宋"/>
                <w:color w:val="auto"/>
                <w:kern w:val="0"/>
                <w:szCs w:val="21"/>
                <w:highlight w:val="none"/>
                <w:lang w:bidi="ar"/>
              </w:rPr>
              <w:t>个</w:t>
            </w:r>
            <w:r>
              <w:rPr>
                <w:rFonts w:hint="eastAsia" w:ascii="仿宋" w:hAnsi="仿宋" w:eastAsia="仿宋" w:cs="仿宋"/>
                <w:color w:val="auto"/>
                <w:kern w:val="0"/>
                <w:szCs w:val="21"/>
                <w:highlight w:val="none"/>
                <w:lang w:eastAsia="zh-CN" w:bidi="ar"/>
              </w:rPr>
              <w:t>，</w:t>
            </w:r>
            <w:r>
              <w:rPr>
                <w:rFonts w:hint="eastAsia" w:ascii="仿宋" w:hAnsi="仿宋" w:eastAsia="仿宋" w:cs="仿宋"/>
                <w:color w:val="auto"/>
                <w:kern w:val="0"/>
                <w:szCs w:val="21"/>
                <w:highlight w:val="none"/>
                <w:lang w:val="en-US" w:eastAsia="zh-CN" w:bidi="ar"/>
              </w:rPr>
              <w:t>最高计8分，以单体项目运营数量最多的两个</w:t>
            </w:r>
            <w:r>
              <w:rPr>
                <w:rFonts w:hint="eastAsia" w:ascii="仿宋" w:hAnsi="仿宋" w:eastAsia="仿宋" w:cs="仿宋"/>
                <w:color w:val="auto"/>
                <w:kern w:val="0"/>
                <w:szCs w:val="21"/>
                <w:highlight w:val="none"/>
                <w:lang w:bidi="ar"/>
              </w:rPr>
              <w:t>开业运营经验</w:t>
            </w:r>
            <w:r>
              <w:rPr>
                <w:rFonts w:hint="eastAsia" w:ascii="仿宋" w:hAnsi="仿宋" w:eastAsia="仿宋" w:cs="仿宋"/>
                <w:color w:val="auto"/>
                <w:kern w:val="0"/>
                <w:szCs w:val="21"/>
                <w:highlight w:val="none"/>
                <w:lang w:val="en-US" w:eastAsia="zh-CN" w:bidi="ar"/>
              </w:rPr>
              <w:t>计分</w:t>
            </w:r>
            <w:r>
              <w:rPr>
                <w:rFonts w:hint="eastAsia" w:ascii="仿宋" w:hAnsi="仿宋" w:eastAsia="仿宋" w:cs="仿宋"/>
                <w:color w:val="auto"/>
                <w:kern w:val="0"/>
                <w:szCs w:val="21"/>
                <w:highlight w:val="none"/>
                <w:lang w:bidi="ar"/>
              </w:rPr>
              <w:t>。</w:t>
            </w:r>
            <w:r>
              <w:rPr>
                <w:rFonts w:hint="eastAsia" w:ascii="仿宋" w:hAnsi="仿宋" w:eastAsia="仿宋" w:cs="仿宋"/>
                <w:color w:val="auto"/>
                <w:kern w:val="0"/>
                <w:szCs w:val="21"/>
                <w:highlight w:val="none"/>
                <w:lang w:val="en-US" w:eastAsia="zh-CN" w:bidi="ar"/>
              </w:rPr>
              <w:t>未</w:t>
            </w:r>
            <w:r>
              <w:rPr>
                <w:rFonts w:hint="eastAsia" w:ascii="仿宋" w:hAnsi="仿宋" w:eastAsia="仿宋" w:cs="仿宋"/>
                <w:color w:val="auto"/>
                <w:kern w:val="0"/>
                <w:szCs w:val="21"/>
                <w:highlight w:val="none"/>
                <w:lang w:bidi="ar"/>
              </w:rPr>
              <w:t>提供不</w:t>
            </w:r>
            <w:r>
              <w:rPr>
                <w:rFonts w:hint="eastAsia" w:ascii="仿宋" w:hAnsi="仿宋" w:eastAsia="仿宋" w:cs="仿宋"/>
                <w:color w:val="auto"/>
                <w:kern w:val="0"/>
                <w:szCs w:val="21"/>
                <w:highlight w:val="none"/>
                <w:lang w:val="en-US" w:eastAsia="zh-CN" w:bidi="ar"/>
              </w:rPr>
              <w:t>计</w:t>
            </w:r>
            <w:r>
              <w:rPr>
                <w:rFonts w:hint="eastAsia" w:ascii="仿宋" w:hAnsi="仿宋" w:eastAsia="仿宋" w:cs="仿宋"/>
                <w:color w:val="auto"/>
                <w:kern w:val="0"/>
                <w:szCs w:val="21"/>
                <w:highlight w:val="none"/>
                <w:lang w:bidi="ar"/>
              </w:rPr>
              <w:t>分。</w:t>
            </w:r>
          </w:p>
        </w:tc>
        <w:tc>
          <w:tcPr>
            <w:tcW w:w="2460" w:type="dxa"/>
            <w:shd w:val="clear" w:color="auto" w:fill="auto"/>
            <w:tcMar>
              <w:top w:w="15" w:type="dxa"/>
              <w:left w:w="15" w:type="dxa"/>
              <w:right w:w="15" w:type="dxa"/>
            </w:tcMar>
            <w:vAlign w:val="center"/>
          </w:tcPr>
          <w:p>
            <w:pPr>
              <w:widowControl/>
              <w:ind w:firstLine="0" w:firstLineChars="0"/>
              <w:jc w:val="left"/>
              <w:textAlignment w:val="center"/>
              <w:rPr>
                <w:rFonts w:hint="eastAsia" w:ascii="仿宋" w:hAnsi="仿宋" w:eastAsia="仿宋" w:cs="仿宋"/>
                <w:color w:val="auto"/>
                <w:kern w:val="0"/>
                <w:szCs w:val="21"/>
                <w:highlight w:val="none"/>
                <w:lang w:bidi="ar"/>
              </w:rPr>
            </w:pPr>
            <w:r>
              <w:rPr>
                <w:rFonts w:hint="eastAsia" w:ascii="仿宋" w:hAnsi="仿宋" w:eastAsia="仿宋" w:cs="仿宋"/>
                <w:color w:val="auto"/>
                <w:kern w:val="0"/>
                <w:szCs w:val="21"/>
                <w:highlight w:val="none"/>
                <w:lang w:bidi="ar"/>
              </w:rPr>
              <w:t>提供相关</w:t>
            </w:r>
            <w:r>
              <w:rPr>
                <w:rFonts w:hint="eastAsia" w:ascii="仿宋" w:hAnsi="仿宋" w:eastAsia="仿宋" w:cs="仿宋"/>
                <w:color w:val="auto"/>
                <w:kern w:val="0"/>
                <w:szCs w:val="21"/>
                <w:highlight w:val="none"/>
                <w:lang w:val="en-US" w:eastAsia="zh-CN" w:bidi="ar"/>
              </w:rPr>
              <w:t>证明材料（相关</w:t>
            </w:r>
            <w:r>
              <w:rPr>
                <w:rFonts w:hint="eastAsia" w:ascii="仿宋" w:hAnsi="仿宋" w:eastAsia="仿宋" w:cs="仿宋"/>
                <w:color w:val="auto"/>
                <w:kern w:val="0"/>
                <w:szCs w:val="21"/>
                <w:highlight w:val="none"/>
                <w:lang w:bidi="ar"/>
              </w:rPr>
              <w:t>合同</w:t>
            </w:r>
            <w:r>
              <w:rPr>
                <w:rFonts w:hint="eastAsia" w:ascii="仿宋" w:hAnsi="仿宋" w:eastAsia="仿宋" w:cs="仿宋"/>
                <w:color w:val="auto"/>
                <w:kern w:val="0"/>
                <w:szCs w:val="21"/>
                <w:highlight w:val="none"/>
                <w:lang w:eastAsia="zh-CN" w:bidi="ar"/>
              </w:rPr>
              <w:t>、</w:t>
            </w:r>
            <w:r>
              <w:rPr>
                <w:rFonts w:hint="eastAsia" w:ascii="仿宋" w:hAnsi="仿宋" w:eastAsia="仿宋" w:cs="仿宋"/>
                <w:color w:val="auto"/>
                <w:kern w:val="0"/>
                <w:szCs w:val="21"/>
                <w:highlight w:val="none"/>
                <w:lang w:val="en-US" w:eastAsia="zh-CN" w:bidi="ar"/>
              </w:rPr>
              <w:t>协议</w:t>
            </w:r>
            <w:r>
              <w:rPr>
                <w:rFonts w:hint="eastAsia" w:ascii="仿宋" w:hAnsi="仿宋" w:eastAsia="仿宋" w:cs="仿宋"/>
                <w:color w:val="auto"/>
                <w:kern w:val="0"/>
                <w:szCs w:val="21"/>
                <w:highlight w:val="none"/>
                <w:lang w:bidi="ar"/>
              </w:rPr>
              <w:t>复印件</w:t>
            </w:r>
            <w:r>
              <w:rPr>
                <w:rFonts w:hint="eastAsia" w:ascii="仿宋" w:hAnsi="仿宋" w:eastAsia="仿宋" w:cs="仿宋"/>
                <w:color w:val="auto"/>
                <w:kern w:val="0"/>
                <w:szCs w:val="21"/>
                <w:highlight w:val="none"/>
                <w:lang w:val="en-US" w:eastAsia="zh-CN" w:bidi="ar"/>
              </w:rPr>
              <w:t>等）并加盖申请人公章</w:t>
            </w:r>
          </w:p>
        </w:tc>
        <w:tc>
          <w:tcPr>
            <w:tcW w:w="873" w:type="dxa"/>
            <w:shd w:val="clear" w:color="auto" w:fill="auto"/>
            <w:tcMar>
              <w:top w:w="15" w:type="dxa"/>
              <w:left w:w="15" w:type="dxa"/>
              <w:right w:w="15" w:type="dxa"/>
            </w:tcMar>
            <w:vAlign w:val="center"/>
          </w:tcPr>
          <w:p>
            <w:pPr>
              <w:widowControl/>
              <w:ind w:firstLine="0" w:firstLineChars="0"/>
              <w:jc w:val="center"/>
              <w:textAlignment w:val="center"/>
              <w:rPr>
                <w:rFonts w:hint="default" w:eastAsia="仿宋"/>
                <w:color w:val="auto"/>
                <w:kern w:val="0"/>
                <w:szCs w:val="21"/>
                <w:highlight w:val="none"/>
                <w:lang w:val="en-US" w:eastAsia="zh-CN" w:bidi="ar"/>
              </w:rPr>
            </w:pPr>
            <w:r>
              <w:rPr>
                <w:rFonts w:hint="eastAsia" w:eastAsia="仿宋"/>
                <w:color w:val="auto"/>
                <w:kern w:val="0"/>
                <w:szCs w:val="21"/>
                <w:highlight w:val="none"/>
                <w:lang w:val="en-US" w:eastAsia="zh-CN" w:bidi="ar"/>
              </w:rPr>
              <w:t>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315" w:hRule="atLeast"/>
        </w:trPr>
        <w:tc>
          <w:tcPr>
            <w:tcW w:w="1029" w:type="dxa"/>
            <w:vMerge w:val="continue"/>
            <w:shd w:val="clear" w:color="auto" w:fill="auto"/>
            <w:tcMar>
              <w:top w:w="15" w:type="dxa"/>
              <w:left w:w="15" w:type="dxa"/>
              <w:right w:w="15" w:type="dxa"/>
            </w:tcMar>
            <w:vAlign w:val="center"/>
          </w:tcPr>
          <w:p>
            <w:pPr>
              <w:ind w:firstLine="640"/>
              <w:jc w:val="center"/>
              <w:rPr>
                <w:rFonts w:ascii="仿宋" w:hAnsi="仿宋" w:eastAsia="仿宋" w:cs="仿宋"/>
                <w:color w:val="auto"/>
                <w:szCs w:val="21"/>
                <w:highlight w:val="none"/>
              </w:rPr>
            </w:pPr>
          </w:p>
        </w:tc>
        <w:tc>
          <w:tcPr>
            <w:tcW w:w="1108" w:type="dxa"/>
            <w:vMerge w:val="continue"/>
            <w:shd w:val="clear" w:color="auto" w:fill="auto"/>
            <w:tcMar>
              <w:top w:w="15" w:type="dxa"/>
              <w:left w:w="15" w:type="dxa"/>
              <w:right w:w="15" w:type="dxa"/>
            </w:tcMar>
            <w:vAlign w:val="center"/>
          </w:tcPr>
          <w:p>
            <w:pPr>
              <w:ind w:firstLine="0" w:firstLineChars="0"/>
              <w:rPr>
                <w:rFonts w:ascii="仿宋" w:hAnsi="仿宋" w:eastAsia="仿宋" w:cs="仿宋"/>
                <w:color w:val="auto"/>
                <w:kern w:val="0"/>
                <w:szCs w:val="21"/>
                <w:highlight w:val="none"/>
                <w:lang w:bidi="ar"/>
              </w:rPr>
            </w:pPr>
          </w:p>
        </w:tc>
        <w:tc>
          <w:tcPr>
            <w:tcW w:w="3668" w:type="dxa"/>
            <w:shd w:val="clear" w:color="auto" w:fill="auto"/>
            <w:tcMar>
              <w:top w:w="15" w:type="dxa"/>
              <w:left w:w="15" w:type="dxa"/>
              <w:right w:w="15" w:type="dxa"/>
            </w:tcMar>
            <w:vAlign w:val="center"/>
          </w:tcPr>
          <w:p>
            <w:pPr>
              <w:widowControl/>
              <w:ind w:firstLine="0" w:firstLineChars="0"/>
              <w:jc w:val="left"/>
              <w:textAlignment w:val="center"/>
              <w:rPr>
                <w:rFonts w:ascii="仿宋" w:hAnsi="仿宋" w:eastAsia="仿宋" w:cs="仿宋"/>
                <w:color w:val="auto"/>
                <w:kern w:val="0"/>
                <w:szCs w:val="21"/>
                <w:highlight w:val="none"/>
                <w:lang w:bidi="ar"/>
              </w:rPr>
            </w:pPr>
            <w:r>
              <w:rPr>
                <w:rFonts w:hint="eastAsia" w:ascii="仿宋" w:hAnsi="仿宋" w:eastAsia="仿宋" w:cs="仿宋"/>
                <w:color w:val="auto"/>
                <w:kern w:val="0"/>
                <w:szCs w:val="21"/>
                <w:highlight w:val="none"/>
                <w:lang w:eastAsia="zh-CN" w:bidi="ar"/>
              </w:rPr>
              <w:t>申请人</w:t>
            </w:r>
            <w:r>
              <w:rPr>
                <w:rFonts w:hint="eastAsia" w:ascii="仿宋" w:hAnsi="仿宋" w:eastAsia="仿宋" w:cs="仿宋"/>
                <w:color w:val="auto"/>
                <w:kern w:val="0"/>
                <w:szCs w:val="21"/>
                <w:highlight w:val="none"/>
                <w:lang w:bidi="ar"/>
              </w:rPr>
              <w:t>或其关联公司的运营系统上线时长：申请人进行横向对比</w:t>
            </w:r>
            <w:r>
              <w:rPr>
                <w:rFonts w:hint="eastAsia" w:ascii="仿宋" w:hAnsi="仿宋" w:eastAsia="仿宋" w:cs="仿宋"/>
                <w:color w:val="auto"/>
                <w:kern w:val="0"/>
                <w:szCs w:val="21"/>
                <w:highlight w:val="none"/>
                <w:lang w:eastAsia="zh-CN" w:bidi="ar"/>
              </w:rPr>
              <w:t>，</w:t>
            </w:r>
            <w:r>
              <w:rPr>
                <w:rFonts w:hint="eastAsia" w:ascii="仿宋" w:hAnsi="仿宋" w:eastAsia="仿宋" w:cs="仿宋"/>
                <w:color w:val="auto"/>
                <w:kern w:val="0"/>
                <w:szCs w:val="21"/>
                <w:highlight w:val="none"/>
                <w:lang w:bidi="ar"/>
              </w:rPr>
              <w:t>排名第一名</w:t>
            </w:r>
            <w:r>
              <w:rPr>
                <w:rFonts w:hint="eastAsia" w:ascii="仿宋" w:hAnsi="仿宋" w:eastAsia="仿宋" w:cs="仿宋"/>
                <w:color w:val="auto"/>
                <w:kern w:val="0"/>
                <w:szCs w:val="21"/>
                <w:highlight w:val="none"/>
                <w:lang w:eastAsia="zh-CN" w:bidi="ar"/>
              </w:rPr>
              <w:t>的，</w:t>
            </w:r>
            <w:r>
              <w:rPr>
                <w:rFonts w:hint="eastAsia" w:ascii="仿宋" w:hAnsi="仿宋" w:eastAsia="仿宋" w:cs="仿宋"/>
                <w:color w:val="auto"/>
                <w:kern w:val="0"/>
                <w:szCs w:val="21"/>
                <w:highlight w:val="none"/>
                <w:lang w:bidi="ar"/>
              </w:rPr>
              <w:t>得</w:t>
            </w:r>
            <w:r>
              <w:rPr>
                <w:rFonts w:hint="eastAsia" w:eastAsia="仿宋"/>
                <w:color w:val="auto"/>
                <w:kern w:val="0"/>
                <w:szCs w:val="21"/>
                <w:highlight w:val="none"/>
                <w:lang w:bidi="ar"/>
              </w:rPr>
              <w:t>5</w:t>
            </w:r>
            <w:r>
              <w:rPr>
                <w:rFonts w:hint="eastAsia" w:ascii="仿宋" w:hAnsi="仿宋" w:eastAsia="仿宋" w:cs="仿宋"/>
                <w:color w:val="auto"/>
                <w:kern w:val="0"/>
                <w:szCs w:val="21"/>
                <w:highlight w:val="none"/>
                <w:lang w:bidi="ar"/>
              </w:rPr>
              <w:t>分</w:t>
            </w:r>
            <w:r>
              <w:rPr>
                <w:rFonts w:hint="eastAsia" w:ascii="仿宋" w:hAnsi="仿宋" w:eastAsia="仿宋" w:cs="仿宋"/>
                <w:color w:val="auto"/>
                <w:kern w:val="0"/>
                <w:szCs w:val="21"/>
                <w:highlight w:val="none"/>
                <w:lang w:eastAsia="zh-CN" w:bidi="ar"/>
              </w:rPr>
              <w:t>；</w:t>
            </w:r>
            <w:r>
              <w:rPr>
                <w:rFonts w:hint="eastAsia" w:ascii="仿宋" w:hAnsi="仿宋" w:eastAsia="仿宋" w:cs="仿宋"/>
                <w:color w:val="auto"/>
                <w:kern w:val="0"/>
                <w:szCs w:val="21"/>
                <w:highlight w:val="none"/>
                <w:lang w:bidi="ar"/>
              </w:rPr>
              <w:t>第二名</w:t>
            </w:r>
            <w:r>
              <w:rPr>
                <w:rFonts w:hint="eastAsia" w:ascii="仿宋" w:hAnsi="仿宋" w:eastAsia="仿宋" w:cs="仿宋"/>
                <w:color w:val="auto"/>
                <w:kern w:val="0"/>
                <w:szCs w:val="21"/>
                <w:highlight w:val="none"/>
                <w:lang w:eastAsia="zh-CN" w:bidi="ar"/>
              </w:rPr>
              <w:t>的，</w:t>
            </w:r>
            <w:r>
              <w:rPr>
                <w:rFonts w:hint="eastAsia" w:ascii="仿宋" w:hAnsi="仿宋" w:eastAsia="仿宋" w:cs="仿宋"/>
                <w:color w:val="auto"/>
                <w:kern w:val="0"/>
                <w:szCs w:val="21"/>
                <w:highlight w:val="none"/>
                <w:lang w:val="en-US" w:eastAsia="zh-CN" w:bidi="ar"/>
              </w:rPr>
              <w:t>得</w:t>
            </w:r>
            <w:r>
              <w:rPr>
                <w:rFonts w:hint="eastAsia" w:eastAsia="仿宋"/>
                <w:color w:val="auto"/>
                <w:kern w:val="0"/>
                <w:szCs w:val="21"/>
                <w:highlight w:val="none"/>
                <w:lang w:bidi="ar"/>
              </w:rPr>
              <w:t>3</w:t>
            </w:r>
            <w:r>
              <w:rPr>
                <w:rFonts w:hint="eastAsia" w:ascii="仿宋" w:hAnsi="仿宋" w:eastAsia="仿宋" w:cs="仿宋"/>
                <w:color w:val="auto"/>
                <w:kern w:val="0"/>
                <w:szCs w:val="21"/>
                <w:highlight w:val="none"/>
                <w:lang w:bidi="ar"/>
              </w:rPr>
              <w:t>分</w:t>
            </w:r>
            <w:r>
              <w:rPr>
                <w:rFonts w:hint="eastAsia" w:ascii="仿宋" w:hAnsi="仿宋" w:eastAsia="仿宋" w:cs="仿宋"/>
                <w:color w:val="auto"/>
                <w:kern w:val="0"/>
                <w:szCs w:val="21"/>
                <w:highlight w:val="none"/>
                <w:lang w:eastAsia="zh-CN" w:bidi="ar"/>
              </w:rPr>
              <w:t>；</w:t>
            </w:r>
            <w:r>
              <w:rPr>
                <w:rFonts w:hint="eastAsia" w:ascii="仿宋" w:hAnsi="仿宋" w:eastAsia="仿宋" w:cs="仿宋"/>
                <w:color w:val="auto"/>
                <w:kern w:val="0"/>
                <w:szCs w:val="21"/>
                <w:highlight w:val="none"/>
                <w:lang w:bidi="ar"/>
              </w:rPr>
              <w:t>第三名</w:t>
            </w:r>
            <w:r>
              <w:rPr>
                <w:rFonts w:hint="eastAsia" w:ascii="仿宋" w:hAnsi="仿宋" w:eastAsia="仿宋" w:cs="仿宋"/>
                <w:color w:val="auto"/>
                <w:kern w:val="0"/>
                <w:szCs w:val="21"/>
                <w:highlight w:val="none"/>
                <w:lang w:eastAsia="zh-CN" w:bidi="ar"/>
              </w:rPr>
              <w:t>的，</w:t>
            </w:r>
            <w:r>
              <w:rPr>
                <w:rFonts w:hint="eastAsia" w:ascii="仿宋" w:hAnsi="仿宋" w:eastAsia="仿宋" w:cs="仿宋"/>
                <w:color w:val="auto"/>
                <w:kern w:val="0"/>
                <w:szCs w:val="21"/>
                <w:highlight w:val="none"/>
                <w:lang w:val="en-US" w:eastAsia="zh-CN" w:bidi="ar"/>
              </w:rPr>
              <w:t>得</w:t>
            </w:r>
            <w:r>
              <w:rPr>
                <w:rFonts w:hint="eastAsia" w:eastAsia="仿宋"/>
                <w:color w:val="auto"/>
                <w:kern w:val="0"/>
                <w:szCs w:val="21"/>
                <w:highlight w:val="none"/>
                <w:lang w:bidi="ar"/>
              </w:rPr>
              <w:t>1</w:t>
            </w:r>
            <w:r>
              <w:rPr>
                <w:rFonts w:hint="eastAsia" w:ascii="仿宋" w:hAnsi="仿宋" w:eastAsia="仿宋" w:cs="仿宋"/>
                <w:color w:val="auto"/>
                <w:kern w:val="0"/>
                <w:szCs w:val="21"/>
                <w:highlight w:val="none"/>
                <w:lang w:bidi="ar"/>
              </w:rPr>
              <w:t>分</w:t>
            </w:r>
            <w:r>
              <w:rPr>
                <w:rFonts w:hint="eastAsia" w:ascii="仿宋" w:hAnsi="仿宋" w:eastAsia="仿宋" w:cs="仿宋"/>
                <w:color w:val="auto"/>
                <w:kern w:val="0"/>
                <w:szCs w:val="21"/>
                <w:highlight w:val="none"/>
                <w:lang w:eastAsia="zh-CN" w:bidi="ar"/>
              </w:rPr>
              <w:t>。</w:t>
            </w:r>
            <w:r>
              <w:rPr>
                <w:rFonts w:hint="eastAsia" w:ascii="仿宋" w:hAnsi="仿宋" w:eastAsia="仿宋" w:cs="仿宋"/>
                <w:color w:val="auto"/>
                <w:kern w:val="0"/>
                <w:szCs w:val="21"/>
                <w:highlight w:val="none"/>
                <w:lang w:bidi="ar"/>
              </w:rPr>
              <w:t>第四名及以后不得分。</w:t>
            </w:r>
          </w:p>
        </w:tc>
        <w:tc>
          <w:tcPr>
            <w:tcW w:w="2460" w:type="dxa"/>
            <w:shd w:val="clear" w:color="auto" w:fill="auto"/>
            <w:tcMar>
              <w:top w:w="15" w:type="dxa"/>
              <w:left w:w="15" w:type="dxa"/>
              <w:right w:w="15" w:type="dxa"/>
            </w:tcMar>
            <w:vAlign w:val="center"/>
          </w:tcPr>
          <w:p>
            <w:pPr>
              <w:widowControl/>
              <w:ind w:firstLine="0" w:firstLineChars="0"/>
              <w:jc w:val="left"/>
              <w:textAlignment w:val="center"/>
              <w:rPr>
                <w:rFonts w:ascii="仿宋" w:hAnsi="仿宋" w:eastAsia="仿宋" w:cs="仿宋"/>
                <w:color w:val="auto"/>
                <w:kern w:val="0"/>
                <w:szCs w:val="21"/>
                <w:highlight w:val="none"/>
                <w:lang w:bidi="ar"/>
              </w:rPr>
            </w:pPr>
            <w:r>
              <w:rPr>
                <w:rFonts w:hint="eastAsia" w:ascii="仿宋" w:hAnsi="仿宋" w:eastAsia="仿宋" w:cs="仿宋"/>
                <w:color w:val="auto"/>
                <w:kern w:val="0"/>
                <w:szCs w:val="21"/>
                <w:highlight w:val="none"/>
                <w:lang w:val="en-US" w:eastAsia="zh-CN" w:bidi="ar"/>
              </w:rPr>
              <w:t>提供</w:t>
            </w:r>
            <w:r>
              <w:rPr>
                <w:rFonts w:hint="eastAsia" w:ascii="仿宋" w:hAnsi="仿宋" w:eastAsia="仿宋" w:cs="仿宋"/>
                <w:color w:val="auto"/>
                <w:kern w:val="0"/>
                <w:szCs w:val="21"/>
                <w:highlight w:val="none"/>
                <w:lang w:bidi="ar"/>
              </w:rPr>
              <w:t>国家工业和信息化部ICP备案号及备案报告</w:t>
            </w:r>
            <w:r>
              <w:rPr>
                <w:rFonts w:hint="eastAsia" w:ascii="仿宋" w:hAnsi="仿宋" w:eastAsia="仿宋" w:cs="仿宋"/>
                <w:color w:val="auto"/>
                <w:kern w:val="0"/>
                <w:szCs w:val="21"/>
                <w:highlight w:val="none"/>
                <w:lang w:val="en-US" w:eastAsia="zh-CN" w:bidi="ar"/>
              </w:rPr>
              <w:t>并加盖申请人公章</w:t>
            </w:r>
          </w:p>
        </w:tc>
        <w:tc>
          <w:tcPr>
            <w:tcW w:w="873" w:type="dxa"/>
            <w:shd w:val="clear" w:color="auto" w:fill="auto"/>
            <w:tcMar>
              <w:top w:w="15" w:type="dxa"/>
              <w:left w:w="15" w:type="dxa"/>
              <w:right w:w="15" w:type="dxa"/>
            </w:tcMar>
            <w:vAlign w:val="center"/>
          </w:tcPr>
          <w:p>
            <w:pPr>
              <w:widowControl/>
              <w:ind w:firstLine="0" w:firstLineChars="0"/>
              <w:jc w:val="center"/>
              <w:textAlignment w:val="center"/>
              <w:rPr>
                <w:rFonts w:eastAsia="仿宋"/>
                <w:color w:val="auto"/>
                <w:kern w:val="0"/>
                <w:szCs w:val="21"/>
                <w:highlight w:val="none"/>
                <w:lang w:bidi="ar"/>
              </w:rPr>
            </w:pPr>
            <w:r>
              <w:rPr>
                <w:rFonts w:hint="eastAsia" w:eastAsia="仿宋"/>
                <w:color w:val="auto"/>
                <w:kern w:val="0"/>
                <w:szCs w:val="21"/>
                <w:highlight w:val="none"/>
                <w:lang w:bidi="ar"/>
              </w:rPr>
              <w:t>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9" w:hRule="atLeast"/>
        </w:trPr>
        <w:tc>
          <w:tcPr>
            <w:tcW w:w="1029" w:type="dxa"/>
            <w:vMerge w:val="restart"/>
            <w:tcBorders>
              <w:top w:val="single" w:color="auto" w:sz="4" w:space="0"/>
            </w:tcBorders>
            <w:shd w:val="clear" w:color="auto" w:fill="auto"/>
            <w:tcMar>
              <w:top w:w="15" w:type="dxa"/>
              <w:left w:w="15" w:type="dxa"/>
              <w:right w:w="15" w:type="dxa"/>
            </w:tcMar>
            <w:vAlign w:val="center"/>
          </w:tcPr>
          <w:p>
            <w:pPr>
              <w:ind w:firstLine="0" w:firstLineChars="0"/>
              <w:rPr>
                <w:rFonts w:ascii="仿宋" w:hAnsi="仿宋" w:eastAsia="仿宋" w:cs="仿宋"/>
                <w:color w:val="auto"/>
                <w:szCs w:val="21"/>
                <w:highlight w:val="none"/>
              </w:rPr>
            </w:pPr>
            <w:r>
              <w:rPr>
                <w:rFonts w:hint="eastAsia" w:ascii="仿宋" w:hAnsi="仿宋" w:eastAsia="仿宋" w:cs="仿宋"/>
                <w:color w:val="auto"/>
                <w:szCs w:val="21"/>
                <w:highlight w:val="none"/>
              </w:rPr>
              <w:t>技术方案（</w:t>
            </w:r>
            <w:r>
              <w:rPr>
                <w:rFonts w:hint="eastAsia" w:ascii="仿宋" w:hAnsi="仿宋" w:eastAsia="仿宋" w:cs="仿宋"/>
                <w:color w:val="auto"/>
                <w:szCs w:val="21"/>
                <w:highlight w:val="none"/>
                <w:lang w:val="en-US" w:eastAsia="zh-CN"/>
              </w:rPr>
              <w:t>30</w:t>
            </w:r>
            <w:r>
              <w:rPr>
                <w:rFonts w:hint="eastAsia" w:ascii="仿宋" w:hAnsi="仿宋" w:eastAsia="仿宋" w:cs="仿宋"/>
                <w:color w:val="auto"/>
                <w:szCs w:val="21"/>
                <w:highlight w:val="none"/>
              </w:rPr>
              <w:t>分）</w:t>
            </w:r>
          </w:p>
        </w:tc>
        <w:tc>
          <w:tcPr>
            <w:tcW w:w="1108" w:type="dxa"/>
            <w:vMerge w:val="restart"/>
            <w:tcBorders>
              <w:top w:val="single" w:color="auto" w:sz="4" w:space="0"/>
            </w:tcBorders>
            <w:shd w:val="clear" w:color="auto" w:fill="auto"/>
            <w:tcMar>
              <w:top w:w="15" w:type="dxa"/>
              <w:left w:w="15" w:type="dxa"/>
              <w:right w:w="15" w:type="dxa"/>
            </w:tcMar>
            <w:vAlign w:val="center"/>
          </w:tcPr>
          <w:p>
            <w:pPr>
              <w:ind w:firstLine="0" w:firstLineChars="0"/>
              <w:rPr>
                <w:rFonts w:ascii="仿宋" w:hAnsi="仿宋" w:eastAsia="仿宋" w:cs="仿宋"/>
                <w:color w:val="auto"/>
                <w:szCs w:val="21"/>
                <w:highlight w:val="none"/>
              </w:rPr>
            </w:pPr>
            <w:r>
              <w:rPr>
                <w:rFonts w:hint="eastAsia" w:ascii="仿宋" w:hAnsi="仿宋" w:eastAsia="仿宋" w:cs="仿宋"/>
                <w:color w:val="auto"/>
                <w:szCs w:val="21"/>
                <w:highlight w:val="none"/>
              </w:rPr>
              <w:t>实施方案（</w:t>
            </w:r>
            <w:r>
              <w:rPr>
                <w:rFonts w:hint="eastAsia" w:ascii="仿宋" w:hAnsi="仿宋" w:eastAsia="仿宋" w:cs="仿宋"/>
                <w:color w:val="auto"/>
                <w:szCs w:val="21"/>
                <w:highlight w:val="none"/>
                <w:lang w:val="en-US" w:eastAsia="zh-CN"/>
              </w:rPr>
              <w:t>30</w:t>
            </w:r>
            <w:r>
              <w:rPr>
                <w:rFonts w:hint="eastAsia" w:ascii="仿宋" w:hAnsi="仿宋" w:eastAsia="仿宋" w:cs="仿宋"/>
                <w:color w:val="auto"/>
                <w:szCs w:val="21"/>
                <w:highlight w:val="none"/>
              </w:rPr>
              <w:t>分）</w:t>
            </w:r>
          </w:p>
        </w:tc>
        <w:tc>
          <w:tcPr>
            <w:tcW w:w="3668" w:type="dxa"/>
            <w:shd w:val="clear" w:color="auto" w:fill="auto"/>
            <w:tcMar>
              <w:top w:w="15" w:type="dxa"/>
              <w:left w:w="15" w:type="dxa"/>
              <w:right w:w="15" w:type="dxa"/>
            </w:tcMar>
            <w:vAlign w:val="center"/>
          </w:tcPr>
          <w:p>
            <w:pPr>
              <w:widowControl/>
              <w:ind w:firstLine="0" w:firstLineChars="0"/>
              <w:jc w:val="left"/>
              <w:textAlignment w:val="center"/>
              <w:rPr>
                <w:rFonts w:ascii="仿宋" w:hAnsi="仿宋" w:eastAsia="仿宋" w:cs="仿宋"/>
                <w:color w:val="auto"/>
                <w:kern w:val="0"/>
                <w:szCs w:val="21"/>
                <w:highlight w:val="none"/>
                <w:lang w:bidi="ar"/>
              </w:rPr>
            </w:pPr>
            <w:r>
              <w:rPr>
                <w:rFonts w:hint="eastAsia" w:ascii="仿宋" w:hAnsi="仿宋" w:eastAsia="仿宋" w:cs="仿宋"/>
                <w:color w:val="auto"/>
                <w:kern w:val="0"/>
                <w:szCs w:val="21"/>
                <w:highlight w:val="none"/>
                <w:lang w:bidi="ar"/>
              </w:rPr>
              <w:t>经营方案（包括但不限于筹开计划，营销方案，社群活动方案等）</w:t>
            </w:r>
            <w:r>
              <w:rPr>
                <w:rFonts w:hint="eastAsia" w:ascii="仿宋" w:hAnsi="仿宋" w:eastAsia="仿宋" w:cs="仿宋"/>
                <w:color w:val="auto"/>
                <w:kern w:val="0"/>
                <w:szCs w:val="21"/>
                <w:highlight w:val="none"/>
                <w:lang w:eastAsia="zh-CN" w:bidi="ar"/>
              </w:rPr>
              <w:t>。</w:t>
            </w:r>
            <w:r>
              <w:rPr>
                <w:rFonts w:hint="eastAsia" w:ascii="仿宋" w:hAnsi="仿宋" w:eastAsia="仿宋" w:cs="仿宋"/>
                <w:color w:val="auto"/>
                <w:kern w:val="0"/>
                <w:szCs w:val="21"/>
                <w:highlight w:val="none"/>
                <w:lang w:val="en-US" w:eastAsia="zh-CN" w:bidi="ar"/>
              </w:rPr>
              <w:t>方案</w:t>
            </w:r>
            <w:r>
              <w:rPr>
                <w:rFonts w:hint="eastAsia" w:ascii="仿宋" w:hAnsi="仿宋" w:eastAsia="仿宋" w:cs="仿宋"/>
                <w:color w:val="auto"/>
                <w:kern w:val="0"/>
                <w:szCs w:val="21"/>
                <w:highlight w:val="none"/>
                <w:lang w:bidi="ar"/>
              </w:rPr>
              <w:t>编制</w:t>
            </w:r>
            <w:r>
              <w:rPr>
                <w:rFonts w:hint="eastAsia" w:ascii="仿宋" w:hAnsi="仿宋" w:eastAsia="仿宋" w:cs="仿宋"/>
                <w:color w:val="auto"/>
                <w:kern w:val="0"/>
                <w:szCs w:val="21"/>
                <w:highlight w:val="none"/>
                <w:lang w:val="en-US" w:eastAsia="zh-CN" w:bidi="ar"/>
              </w:rPr>
              <w:t>科学合理，可行性强的为</w:t>
            </w:r>
            <w:r>
              <w:rPr>
                <w:rFonts w:hint="eastAsia" w:ascii="仿宋" w:hAnsi="仿宋" w:eastAsia="仿宋" w:cs="仿宋"/>
                <w:color w:val="auto"/>
                <w:kern w:val="0"/>
                <w:szCs w:val="21"/>
                <w:highlight w:val="none"/>
                <w:lang w:bidi="ar"/>
              </w:rPr>
              <w:t>优秀</w:t>
            </w:r>
            <w:r>
              <w:rPr>
                <w:rFonts w:hint="eastAsia" w:ascii="仿宋" w:hAnsi="仿宋" w:eastAsia="仿宋" w:cs="仿宋"/>
                <w:color w:val="auto"/>
                <w:kern w:val="0"/>
                <w:szCs w:val="21"/>
                <w:highlight w:val="none"/>
                <w:lang w:eastAsia="zh-CN" w:bidi="ar"/>
              </w:rPr>
              <w:t>，</w:t>
            </w:r>
            <w:r>
              <w:rPr>
                <w:rFonts w:hint="eastAsia" w:ascii="仿宋" w:hAnsi="仿宋" w:eastAsia="仿宋" w:cs="仿宋"/>
                <w:color w:val="auto"/>
                <w:kern w:val="0"/>
                <w:szCs w:val="21"/>
                <w:highlight w:val="none"/>
                <w:lang w:bidi="ar"/>
              </w:rPr>
              <w:t>得</w:t>
            </w:r>
            <w:r>
              <w:rPr>
                <w:rFonts w:hint="eastAsia" w:eastAsia="仿宋"/>
                <w:color w:val="auto"/>
                <w:kern w:val="0"/>
                <w:szCs w:val="21"/>
                <w:highlight w:val="none"/>
                <w:lang w:bidi="ar"/>
              </w:rPr>
              <w:t>10</w:t>
            </w:r>
            <w:r>
              <w:rPr>
                <w:rFonts w:hint="eastAsia" w:ascii="仿宋" w:hAnsi="仿宋" w:eastAsia="仿宋" w:cs="仿宋"/>
                <w:color w:val="auto"/>
                <w:kern w:val="0"/>
                <w:szCs w:val="21"/>
                <w:highlight w:val="none"/>
                <w:lang w:bidi="ar"/>
              </w:rPr>
              <w:t>分</w:t>
            </w:r>
            <w:r>
              <w:rPr>
                <w:rFonts w:hint="eastAsia" w:ascii="仿宋" w:hAnsi="仿宋" w:eastAsia="仿宋" w:cs="仿宋"/>
                <w:color w:val="auto"/>
                <w:kern w:val="0"/>
                <w:szCs w:val="21"/>
                <w:highlight w:val="none"/>
                <w:lang w:eastAsia="zh-CN" w:bidi="ar"/>
              </w:rPr>
              <w:t>；</w:t>
            </w:r>
            <w:r>
              <w:rPr>
                <w:rFonts w:hint="eastAsia" w:ascii="仿宋" w:hAnsi="仿宋" w:eastAsia="仿宋" w:cs="仿宋"/>
                <w:color w:val="auto"/>
                <w:kern w:val="0"/>
                <w:szCs w:val="21"/>
                <w:highlight w:val="none"/>
                <w:lang w:val="en-US" w:eastAsia="zh-CN" w:bidi="ar"/>
              </w:rPr>
              <w:t>方案</w:t>
            </w:r>
            <w:r>
              <w:rPr>
                <w:rFonts w:hint="eastAsia" w:ascii="仿宋" w:hAnsi="仿宋" w:eastAsia="仿宋" w:cs="仿宋"/>
                <w:color w:val="auto"/>
                <w:kern w:val="0"/>
                <w:szCs w:val="21"/>
                <w:highlight w:val="none"/>
                <w:lang w:bidi="ar"/>
              </w:rPr>
              <w:t>编制</w:t>
            </w:r>
            <w:r>
              <w:rPr>
                <w:rFonts w:hint="eastAsia" w:ascii="仿宋" w:hAnsi="仿宋" w:eastAsia="仿宋" w:cs="仿宋"/>
                <w:color w:val="auto"/>
                <w:kern w:val="0"/>
                <w:szCs w:val="21"/>
                <w:highlight w:val="none"/>
                <w:lang w:val="en-US" w:eastAsia="zh-CN" w:bidi="ar"/>
              </w:rPr>
              <w:t>基本合理，有一定可行性的为</w:t>
            </w:r>
            <w:r>
              <w:rPr>
                <w:rFonts w:hint="eastAsia" w:ascii="仿宋" w:hAnsi="仿宋" w:eastAsia="仿宋" w:cs="仿宋"/>
                <w:color w:val="auto"/>
                <w:kern w:val="0"/>
                <w:szCs w:val="21"/>
                <w:highlight w:val="none"/>
                <w:lang w:bidi="ar"/>
              </w:rPr>
              <w:t>良好</w:t>
            </w:r>
            <w:r>
              <w:rPr>
                <w:rFonts w:hint="eastAsia" w:ascii="仿宋" w:hAnsi="仿宋" w:eastAsia="仿宋" w:cs="仿宋"/>
                <w:color w:val="auto"/>
                <w:kern w:val="0"/>
                <w:szCs w:val="21"/>
                <w:highlight w:val="none"/>
                <w:lang w:eastAsia="zh-CN" w:bidi="ar"/>
              </w:rPr>
              <w:t>，</w:t>
            </w:r>
            <w:r>
              <w:rPr>
                <w:rFonts w:hint="eastAsia" w:ascii="仿宋" w:hAnsi="仿宋" w:eastAsia="仿宋" w:cs="仿宋"/>
                <w:color w:val="auto"/>
                <w:kern w:val="0"/>
                <w:szCs w:val="21"/>
                <w:highlight w:val="none"/>
                <w:lang w:bidi="ar"/>
              </w:rPr>
              <w:t>得</w:t>
            </w:r>
            <w:r>
              <w:rPr>
                <w:rFonts w:hint="eastAsia" w:eastAsia="仿宋"/>
                <w:color w:val="auto"/>
                <w:kern w:val="0"/>
                <w:szCs w:val="21"/>
                <w:highlight w:val="none"/>
                <w:lang w:bidi="ar"/>
              </w:rPr>
              <w:t>6</w:t>
            </w:r>
            <w:r>
              <w:rPr>
                <w:rFonts w:ascii="仿宋" w:hAnsi="仿宋" w:eastAsia="仿宋" w:cs="仿宋"/>
                <w:color w:val="auto"/>
                <w:kern w:val="0"/>
                <w:szCs w:val="21"/>
                <w:highlight w:val="none"/>
                <w:lang w:bidi="ar"/>
              </w:rPr>
              <w:t>分</w:t>
            </w:r>
            <w:r>
              <w:rPr>
                <w:rFonts w:hint="eastAsia" w:ascii="仿宋" w:hAnsi="仿宋" w:eastAsia="仿宋" w:cs="仿宋"/>
                <w:color w:val="auto"/>
                <w:kern w:val="0"/>
                <w:szCs w:val="21"/>
                <w:highlight w:val="none"/>
                <w:lang w:eastAsia="zh-CN" w:bidi="ar"/>
              </w:rPr>
              <w:t>；</w:t>
            </w:r>
            <w:r>
              <w:rPr>
                <w:rFonts w:hint="eastAsia" w:ascii="仿宋" w:hAnsi="仿宋" w:eastAsia="仿宋" w:cs="仿宋"/>
                <w:color w:val="auto"/>
                <w:kern w:val="0"/>
                <w:szCs w:val="21"/>
                <w:highlight w:val="none"/>
                <w:lang w:val="en-US" w:eastAsia="zh-CN" w:bidi="ar"/>
              </w:rPr>
              <w:t>方案</w:t>
            </w:r>
            <w:r>
              <w:rPr>
                <w:rFonts w:hint="eastAsia" w:ascii="仿宋" w:hAnsi="仿宋" w:eastAsia="仿宋" w:cs="仿宋"/>
                <w:color w:val="auto"/>
                <w:kern w:val="0"/>
                <w:szCs w:val="21"/>
                <w:highlight w:val="none"/>
                <w:lang w:bidi="ar"/>
              </w:rPr>
              <w:t>编制</w:t>
            </w:r>
            <w:r>
              <w:rPr>
                <w:rFonts w:hint="eastAsia" w:ascii="仿宋" w:hAnsi="仿宋" w:eastAsia="仿宋" w:cs="仿宋"/>
                <w:color w:val="auto"/>
                <w:kern w:val="0"/>
                <w:szCs w:val="21"/>
                <w:highlight w:val="none"/>
                <w:lang w:val="en-US" w:eastAsia="zh-CN" w:bidi="ar"/>
              </w:rPr>
              <w:t>不够合理，可行性一般的为</w:t>
            </w:r>
            <w:r>
              <w:rPr>
                <w:rFonts w:hint="eastAsia" w:ascii="仿宋" w:hAnsi="仿宋" w:eastAsia="仿宋" w:cs="仿宋"/>
                <w:color w:val="auto"/>
                <w:kern w:val="0"/>
                <w:szCs w:val="21"/>
                <w:highlight w:val="none"/>
                <w:lang w:bidi="ar"/>
              </w:rPr>
              <w:t>合格</w:t>
            </w:r>
            <w:r>
              <w:rPr>
                <w:rFonts w:hint="eastAsia" w:ascii="仿宋" w:hAnsi="仿宋" w:eastAsia="仿宋" w:cs="仿宋"/>
                <w:color w:val="auto"/>
                <w:kern w:val="0"/>
                <w:szCs w:val="21"/>
                <w:highlight w:val="none"/>
                <w:lang w:eastAsia="zh-CN" w:bidi="ar"/>
              </w:rPr>
              <w:t>，</w:t>
            </w:r>
            <w:r>
              <w:rPr>
                <w:rFonts w:hint="eastAsia" w:ascii="仿宋" w:hAnsi="仿宋" w:eastAsia="仿宋" w:cs="仿宋"/>
                <w:color w:val="auto"/>
                <w:kern w:val="0"/>
                <w:szCs w:val="21"/>
                <w:highlight w:val="none"/>
                <w:lang w:bidi="ar"/>
              </w:rPr>
              <w:t>得2分</w:t>
            </w:r>
            <w:r>
              <w:rPr>
                <w:rFonts w:hint="eastAsia" w:ascii="仿宋" w:hAnsi="仿宋" w:eastAsia="仿宋" w:cs="仿宋"/>
                <w:color w:val="auto"/>
                <w:kern w:val="0"/>
                <w:szCs w:val="21"/>
                <w:highlight w:val="none"/>
                <w:lang w:eastAsia="zh-CN" w:bidi="ar"/>
              </w:rPr>
              <w:t>；</w:t>
            </w:r>
            <w:r>
              <w:rPr>
                <w:rFonts w:hint="eastAsia" w:ascii="仿宋" w:hAnsi="仿宋" w:eastAsia="仿宋" w:cs="仿宋"/>
                <w:color w:val="auto"/>
                <w:kern w:val="0"/>
                <w:szCs w:val="21"/>
                <w:highlight w:val="none"/>
                <w:lang w:bidi="ar"/>
              </w:rPr>
              <w:t>不合格或未提供的不得分。</w:t>
            </w:r>
          </w:p>
        </w:tc>
        <w:tc>
          <w:tcPr>
            <w:tcW w:w="2460" w:type="dxa"/>
            <w:shd w:val="clear" w:color="auto" w:fill="auto"/>
            <w:tcMar>
              <w:top w:w="15" w:type="dxa"/>
              <w:left w:w="15" w:type="dxa"/>
              <w:right w:w="15" w:type="dxa"/>
            </w:tcMar>
            <w:vAlign w:val="center"/>
          </w:tcPr>
          <w:p>
            <w:pPr>
              <w:widowControl/>
              <w:ind w:left="0" w:leftChars="0" w:firstLine="0" w:firstLineChars="0"/>
              <w:jc w:val="left"/>
              <w:textAlignment w:val="center"/>
              <w:rPr>
                <w:rFonts w:ascii="仿宋" w:hAnsi="仿宋" w:eastAsia="仿宋" w:cs="仿宋"/>
                <w:color w:val="auto"/>
                <w:kern w:val="0"/>
                <w:szCs w:val="21"/>
                <w:highlight w:val="none"/>
                <w:lang w:bidi="ar"/>
              </w:rPr>
            </w:pPr>
          </w:p>
        </w:tc>
        <w:tc>
          <w:tcPr>
            <w:tcW w:w="873" w:type="dxa"/>
            <w:shd w:val="clear" w:color="auto" w:fill="auto"/>
            <w:tcMar>
              <w:top w:w="15" w:type="dxa"/>
              <w:left w:w="15" w:type="dxa"/>
              <w:right w:w="15" w:type="dxa"/>
            </w:tcMar>
            <w:vAlign w:val="center"/>
          </w:tcPr>
          <w:p>
            <w:pPr>
              <w:widowControl/>
              <w:ind w:firstLine="0" w:firstLineChars="0"/>
              <w:jc w:val="center"/>
              <w:textAlignment w:val="center"/>
              <w:rPr>
                <w:rFonts w:eastAsia="仿宋"/>
                <w:color w:val="auto"/>
                <w:kern w:val="0"/>
                <w:szCs w:val="21"/>
                <w:highlight w:val="none"/>
                <w:lang w:bidi="ar"/>
              </w:rPr>
            </w:pPr>
            <w:r>
              <w:rPr>
                <w:rFonts w:hint="eastAsia" w:eastAsia="仿宋"/>
                <w:color w:val="auto"/>
                <w:kern w:val="0"/>
                <w:szCs w:val="21"/>
                <w:highlight w:val="none"/>
                <w:lang w:bidi="ar"/>
              </w:rPr>
              <w:t>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9" w:hRule="atLeast"/>
        </w:trPr>
        <w:tc>
          <w:tcPr>
            <w:tcW w:w="1029" w:type="dxa"/>
            <w:vMerge w:val="continue"/>
            <w:shd w:val="clear" w:color="auto" w:fill="auto"/>
            <w:tcMar>
              <w:top w:w="15" w:type="dxa"/>
              <w:left w:w="15" w:type="dxa"/>
              <w:right w:w="15" w:type="dxa"/>
            </w:tcMar>
            <w:vAlign w:val="center"/>
          </w:tcPr>
          <w:p>
            <w:pPr>
              <w:ind w:firstLine="640"/>
              <w:jc w:val="center"/>
              <w:rPr>
                <w:rFonts w:ascii="仿宋" w:hAnsi="仿宋" w:eastAsia="仿宋" w:cs="仿宋"/>
                <w:color w:val="auto"/>
                <w:szCs w:val="21"/>
                <w:highlight w:val="none"/>
              </w:rPr>
            </w:pPr>
          </w:p>
        </w:tc>
        <w:tc>
          <w:tcPr>
            <w:tcW w:w="1108" w:type="dxa"/>
            <w:vMerge w:val="continue"/>
            <w:shd w:val="clear" w:color="auto" w:fill="auto"/>
            <w:tcMar>
              <w:top w:w="15" w:type="dxa"/>
              <w:left w:w="15" w:type="dxa"/>
              <w:right w:w="15" w:type="dxa"/>
            </w:tcMar>
            <w:vAlign w:val="center"/>
          </w:tcPr>
          <w:p>
            <w:pPr>
              <w:ind w:firstLine="0" w:firstLineChars="0"/>
              <w:rPr>
                <w:rFonts w:ascii="仿宋" w:hAnsi="仿宋" w:eastAsia="仿宋" w:cs="仿宋"/>
                <w:color w:val="auto"/>
                <w:szCs w:val="21"/>
                <w:highlight w:val="none"/>
              </w:rPr>
            </w:pPr>
          </w:p>
        </w:tc>
        <w:tc>
          <w:tcPr>
            <w:tcW w:w="3668" w:type="dxa"/>
            <w:shd w:val="clear" w:color="auto" w:fill="auto"/>
            <w:tcMar>
              <w:top w:w="15" w:type="dxa"/>
              <w:left w:w="15" w:type="dxa"/>
              <w:right w:w="15" w:type="dxa"/>
            </w:tcMar>
            <w:vAlign w:val="center"/>
          </w:tcPr>
          <w:p>
            <w:pPr>
              <w:widowControl/>
              <w:ind w:firstLine="0" w:firstLineChars="0"/>
              <w:jc w:val="left"/>
              <w:textAlignment w:val="center"/>
              <w:rPr>
                <w:rFonts w:ascii="仿宋" w:hAnsi="仿宋" w:eastAsia="仿宋" w:cs="仿宋"/>
                <w:color w:val="auto"/>
                <w:kern w:val="0"/>
                <w:szCs w:val="21"/>
                <w:highlight w:val="none"/>
                <w:lang w:bidi="ar"/>
              </w:rPr>
            </w:pPr>
            <w:r>
              <w:rPr>
                <w:rFonts w:hint="eastAsia" w:ascii="仿宋" w:hAnsi="仿宋" w:eastAsia="仿宋" w:cs="仿宋"/>
                <w:color w:val="auto"/>
                <w:kern w:val="0"/>
                <w:szCs w:val="21"/>
                <w:highlight w:val="none"/>
                <w:lang w:bidi="ar"/>
              </w:rPr>
              <w:t>服务标准（包括但不限于接电标准，接待标准）</w:t>
            </w:r>
            <w:r>
              <w:rPr>
                <w:rFonts w:hint="eastAsia" w:ascii="仿宋" w:hAnsi="仿宋" w:eastAsia="仿宋" w:cs="仿宋"/>
                <w:color w:val="auto"/>
                <w:kern w:val="0"/>
                <w:szCs w:val="21"/>
                <w:highlight w:val="none"/>
                <w:lang w:eastAsia="zh-CN" w:bidi="ar"/>
              </w:rPr>
              <w:t>。</w:t>
            </w:r>
            <w:r>
              <w:rPr>
                <w:rFonts w:hint="eastAsia" w:ascii="仿宋" w:hAnsi="仿宋" w:eastAsia="仿宋" w:cs="仿宋"/>
                <w:color w:val="auto"/>
                <w:kern w:val="0"/>
                <w:szCs w:val="21"/>
                <w:highlight w:val="none"/>
                <w:lang w:val="en-US" w:eastAsia="zh-CN" w:bidi="ar"/>
              </w:rPr>
              <w:t>服务标准</w:t>
            </w:r>
            <w:r>
              <w:rPr>
                <w:rFonts w:hint="eastAsia" w:ascii="仿宋" w:hAnsi="仿宋" w:eastAsia="仿宋" w:cs="仿宋"/>
                <w:color w:val="auto"/>
                <w:kern w:val="0"/>
                <w:szCs w:val="21"/>
                <w:highlight w:val="none"/>
                <w:lang w:bidi="ar"/>
              </w:rPr>
              <w:t>制定科学合理且内容详实</w:t>
            </w:r>
            <w:r>
              <w:rPr>
                <w:rFonts w:hint="eastAsia" w:ascii="仿宋" w:hAnsi="仿宋" w:eastAsia="仿宋" w:cs="仿宋"/>
                <w:color w:val="auto"/>
                <w:kern w:val="0"/>
                <w:szCs w:val="21"/>
                <w:highlight w:val="none"/>
                <w:lang w:eastAsia="zh-CN" w:bidi="ar"/>
              </w:rPr>
              <w:t>的</w:t>
            </w:r>
            <w:r>
              <w:rPr>
                <w:rFonts w:hint="eastAsia" w:ascii="仿宋" w:hAnsi="仿宋" w:eastAsia="仿宋" w:cs="仿宋"/>
                <w:color w:val="auto"/>
                <w:kern w:val="0"/>
                <w:szCs w:val="21"/>
                <w:highlight w:val="none"/>
                <w:lang w:val="en-US" w:eastAsia="zh-CN" w:bidi="ar"/>
              </w:rPr>
              <w:t>为优秀，</w:t>
            </w:r>
            <w:r>
              <w:rPr>
                <w:rFonts w:hint="eastAsia" w:ascii="仿宋" w:hAnsi="仿宋" w:eastAsia="仿宋" w:cs="仿宋"/>
                <w:color w:val="auto"/>
                <w:kern w:val="0"/>
                <w:szCs w:val="21"/>
                <w:highlight w:val="none"/>
                <w:lang w:bidi="ar"/>
              </w:rPr>
              <w:t>得</w:t>
            </w:r>
            <w:r>
              <w:rPr>
                <w:rFonts w:hint="eastAsia" w:eastAsia="仿宋"/>
                <w:color w:val="auto"/>
                <w:kern w:val="0"/>
                <w:szCs w:val="21"/>
                <w:highlight w:val="none"/>
                <w:lang w:bidi="ar"/>
              </w:rPr>
              <w:t>8</w:t>
            </w:r>
            <w:r>
              <w:rPr>
                <w:rFonts w:ascii="仿宋" w:hAnsi="仿宋" w:eastAsia="仿宋" w:cs="仿宋"/>
                <w:color w:val="auto"/>
                <w:kern w:val="0"/>
                <w:szCs w:val="21"/>
                <w:highlight w:val="none"/>
                <w:lang w:bidi="ar"/>
              </w:rPr>
              <w:t>分</w:t>
            </w:r>
            <w:r>
              <w:rPr>
                <w:rFonts w:hint="eastAsia" w:ascii="仿宋" w:hAnsi="仿宋" w:eastAsia="仿宋" w:cs="仿宋"/>
                <w:color w:val="auto"/>
                <w:kern w:val="0"/>
                <w:szCs w:val="21"/>
                <w:highlight w:val="none"/>
                <w:lang w:eastAsia="zh-CN" w:bidi="ar"/>
              </w:rPr>
              <w:t>；</w:t>
            </w:r>
            <w:r>
              <w:rPr>
                <w:rFonts w:hint="eastAsia" w:ascii="仿宋" w:hAnsi="仿宋" w:eastAsia="仿宋" w:cs="仿宋"/>
                <w:color w:val="auto"/>
                <w:kern w:val="0"/>
                <w:szCs w:val="21"/>
                <w:highlight w:val="none"/>
                <w:lang w:val="en-US" w:eastAsia="zh-CN" w:bidi="ar"/>
              </w:rPr>
              <w:t>服务标准</w:t>
            </w:r>
            <w:r>
              <w:rPr>
                <w:rFonts w:hint="eastAsia" w:ascii="仿宋" w:hAnsi="仿宋" w:eastAsia="仿宋" w:cs="仿宋"/>
                <w:color w:val="auto"/>
                <w:kern w:val="0"/>
                <w:szCs w:val="21"/>
                <w:highlight w:val="none"/>
                <w:lang w:bidi="ar"/>
              </w:rPr>
              <w:t>有针对性且基本合理</w:t>
            </w:r>
            <w:r>
              <w:rPr>
                <w:rFonts w:hint="eastAsia" w:ascii="仿宋" w:hAnsi="仿宋" w:eastAsia="仿宋" w:cs="仿宋"/>
                <w:color w:val="auto"/>
                <w:kern w:val="0"/>
                <w:szCs w:val="21"/>
                <w:highlight w:val="none"/>
                <w:lang w:eastAsia="zh-CN" w:bidi="ar"/>
              </w:rPr>
              <w:t>的</w:t>
            </w:r>
            <w:r>
              <w:rPr>
                <w:rFonts w:hint="eastAsia" w:ascii="仿宋" w:hAnsi="仿宋" w:eastAsia="仿宋" w:cs="仿宋"/>
                <w:color w:val="auto"/>
                <w:kern w:val="0"/>
                <w:szCs w:val="21"/>
                <w:highlight w:val="none"/>
                <w:lang w:val="en-US" w:eastAsia="zh-CN" w:bidi="ar"/>
              </w:rPr>
              <w:t>为良好，</w:t>
            </w:r>
            <w:r>
              <w:rPr>
                <w:rFonts w:hint="eastAsia" w:ascii="仿宋" w:hAnsi="仿宋" w:eastAsia="仿宋" w:cs="仿宋"/>
                <w:color w:val="auto"/>
                <w:kern w:val="0"/>
                <w:szCs w:val="21"/>
                <w:highlight w:val="none"/>
                <w:lang w:bidi="ar"/>
              </w:rPr>
              <w:t>得</w:t>
            </w:r>
            <w:r>
              <w:rPr>
                <w:rFonts w:hint="eastAsia" w:eastAsia="仿宋"/>
                <w:color w:val="auto"/>
                <w:kern w:val="0"/>
                <w:szCs w:val="21"/>
                <w:highlight w:val="none"/>
                <w:lang w:bidi="ar"/>
              </w:rPr>
              <w:t>5</w:t>
            </w:r>
            <w:r>
              <w:rPr>
                <w:rFonts w:ascii="仿宋" w:hAnsi="仿宋" w:eastAsia="仿宋" w:cs="仿宋"/>
                <w:color w:val="auto"/>
                <w:kern w:val="0"/>
                <w:szCs w:val="21"/>
                <w:highlight w:val="none"/>
                <w:lang w:bidi="ar"/>
              </w:rPr>
              <w:t>分</w:t>
            </w:r>
            <w:r>
              <w:rPr>
                <w:rFonts w:hint="eastAsia" w:ascii="仿宋" w:hAnsi="仿宋" w:eastAsia="仿宋" w:cs="仿宋"/>
                <w:color w:val="auto"/>
                <w:kern w:val="0"/>
                <w:szCs w:val="21"/>
                <w:highlight w:val="none"/>
                <w:lang w:eastAsia="zh-CN" w:bidi="ar"/>
              </w:rPr>
              <w:t>；</w:t>
            </w:r>
            <w:r>
              <w:rPr>
                <w:rFonts w:hint="eastAsia" w:ascii="仿宋" w:hAnsi="仿宋" w:eastAsia="仿宋" w:cs="仿宋"/>
                <w:color w:val="auto"/>
                <w:kern w:val="0"/>
                <w:szCs w:val="21"/>
                <w:highlight w:val="none"/>
                <w:lang w:val="en-US" w:eastAsia="zh-CN" w:bidi="ar"/>
              </w:rPr>
              <w:t>服务标准针对性不强且不够合理的为</w:t>
            </w:r>
            <w:r>
              <w:rPr>
                <w:rFonts w:hint="eastAsia" w:ascii="仿宋" w:hAnsi="仿宋" w:eastAsia="仿宋" w:cs="仿宋"/>
                <w:color w:val="auto"/>
                <w:kern w:val="0"/>
                <w:szCs w:val="21"/>
                <w:highlight w:val="none"/>
                <w:lang w:bidi="ar"/>
              </w:rPr>
              <w:t>合格</w:t>
            </w:r>
            <w:r>
              <w:rPr>
                <w:rFonts w:hint="eastAsia" w:ascii="仿宋" w:hAnsi="仿宋" w:eastAsia="仿宋" w:cs="仿宋"/>
                <w:color w:val="auto"/>
                <w:kern w:val="0"/>
                <w:szCs w:val="21"/>
                <w:highlight w:val="none"/>
                <w:lang w:eastAsia="zh-CN" w:bidi="ar"/>
              </w:rPr>
              <w:t>，</w:t>
            </w:r>
            <w:r>
              <w:rPr>
                <w:rFonts w:ascii="仿宋" w:hAnsi="仿宋" w:eastAsia="仿宋" w:cs="仿宋"/>
                <w:color w:val="auto"/>
                <w:kern w:val="0"/>
                <w:szCs w:val="21"/>
                <w:highlight w:val="none"/>
                <w:lang w:bidi="ar"/>
              </w:rPr>
              <w:t>得</w:t>
            </w:r>
            <w:r>
              <w:rPr>
                <w:rFonts w:hint="eastAsia" w:eastAsia="仿宋"/>
                <w:color w:val="auto"/>
                <w:kern w:val="0"/>
                <w:szCs w:val="21"/>
                <w:highlight w:val="none"/>
                <w:lang w:bidi="ar"/>
              </w:rPr>
              <w:t>2</w:t>
            </w:r>
            <w:r>
              <w:rPr>
                <w:rFonts w:ascii="仿宋" w:hAnsi="仿宋" w:eastAsia="仿宋" w:cs="仿宋"/>
                <w:color w:val="auto"/>
                <w:kern w:val="0"/>
                <w:szCs w:val="21"/>
                <w:highlight w:val="none"/>
                <w:lang w:bidi="ar"/>
              </w:rPr>
              <w:t>分</w:t>
            </w:r>
            <w:r>
              <w:rPr>
                <w:rFonts w:hint="eastAsia" w:ascii="仿宋" w:hAnsi="仿宋" w:eastAsia="仿宋" w:cs="仿宋"/>
                <w:color w:val="auto"/>
                <w:kern w:val="0"/>
                <w:szCs w:val="21"/>
                <w:highlight w:val="none"/>
                <w:lang w:eastAsia="zh-CN" w:bidi="ar"/>
              </w:rPr>
              <w:t>；</w:t>
            </w:r>
            <w:r>
              <w:rPr>
                <w:rFonts w:hint="eastAsia" w:ascii="仿宋" w:hAnsi="仿宋" w:eastAsia="仿宋" w:cs="仿宋"/>
                <w:color w:val="auto"/>
                <w:kern w:val="0"/>
                <w:szCs w:val="21"/>
                <w:highlight w:val="none"/>
                <w:lang w:bidi="ar"/>
              </w:rPr>
              <w:t>不合格或未提供的不得分。</w:t>
            </w:r>
          </w:p>
        </w:tc>
        <w:tc>
          <w:tcPr>
            <w:tcW w:w="2460" w:type="dxa"/>
            <w:shd w:val="clear" w:color="auto" w:fill="auto"/>
            <w:tcMar>
              <w:top w:w="15" w:type="dxa"/>
              <w:left w:w="15" w:type="dxa"/>
              <w:right w:w="15" w:type="dxa"/>
            </w:tcMar>
            <w:vAlign w:val="center"/>
          </w:tcPr>
          <w:p>
            <w:pPr>
              <w:widowControl/>
              <w:ind w:firstLine="640"/>
              <w:jc w:val="left"/>
              <w:textAlignment w:val="center"/>
              <w:rPr>
                <w:rFonts w:ascii="仿宋" w:hAnsi="仿宋" w:eastAsia="仿宋" w:cs="仿宋"/>
                <w:color w:val="auto"/>
                <w:kern w:val="0"/>
                <w:szCs w:val="21"/>
                <w:highlight w:val="none"/>
                <w:lang w:bidi="ar"/>
              </w:rPr>
            </w:pPr>
          </w:p>
        </w:tc>
        <w:tc>
          <w:tcPr>
            <w:tcW w:w="873" w:type="dxa"/>
            <w:shd w:val="clear" w:color="auto" w:fill="auto"/>
            <w:tcMar>
              <w:top w:w="15" w:type="dxa"/>
              <w:left w:w="15" w:type="dxa"/>
              <w:right w:w="15" w:type="dxa"/>
            </w:tcMar>
            <w:vAlign w:val="center"/>
          </w:tcPr>
          <w:p>
            <w:pPr>
              <w:widowControl/>
              <w:ind w:firstLine="0" w:firstLineChars="0"/>
              <w:jc w:val="center"/>
              <w:textAlignment w:val="center"/>
              <w:rPr>
                <w:rFonts w:eastAsia="仿宋"/>
                <w:color w:val="auto"/>
                <w:kern w:val="0"/>
                <w:szCs w:val="21"/>
                <w:highlight w:val="none"/>
                <w:lang w:bidi="ar"/>
              </w:rPr>
            </w:pPr>
            <w:r>
              <w:rPr>
                <w:rFonts w:hint="eastAsia" w:eastAsia="仿宋"/>
                <w:color w:val="auto"/>
                <w:szCs w:val="21"/>
                <w:highlight w:val="none"/>
              </w:rPr>
              <w:t>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9" w:hRule="atLeast"/>
        </w:trPr>
        <w:tc>
          <w:tcPr>
            <w:tcW w:w="1029" w:type="dxa"/>
            <w:vMerge w:val="continue"/>
            <w:shd w:val="clear" w:color="auto" w:fill="auto"/>
            <w:tcMar>
              <w:top w:w="15" w:type="dxa"/>
              <w:left w:w="15" w:type="dxa"/>
              <w:right w:w="15" w:type="dxa"/>
            </w:tcMar>
            <w:vAlign w:val="center"/>
          </w:tcPr>
          <w:p>
            <w:pPr>
              <w:ind w:firstLine="640"/>
              <w:jc w:val="center"/>
              <w:rPr>
                <w:rFonts w:ascii="仿宋" w:hAnsi="仿宋" w:eastAsia="仿宋" w:cs="仿宋"/>
                <w:color w:val="auto"/>
                <w:szCs w:val="21"/>
                <w:highlight w:val="none"/>
              </w:rPr>
            </w:pPr>
          </w:p>
        </w:tc>
        <w:tc>
          <w:tcPr>
            <w:tcW w:w="1108" w:type="dxa"/>
            <w:vMerge w:val="continue"/>
            <w:shd w:val="clear" w:color="auto" w:fill="auto"/>
            <w:tcMar>
              <w:top w:w="15" w:type="dxa"/>
              <w:left w:w="15" w:type="dxa"/>
              <w:right w:w="15" w:type="dxa"/>
            </w:tcMar>
            <w:vAlign w:val="center"/>
          </w:tcPr>
          <w:p>
            <w:pPr>
              <w:ind w:firstLine="0" w:firstLineChars="0"/>
              <w:rPr>
                <w:rFonts w:ascii="仿宋" w:hAnsi="仿宋" w:eastAsia="仿宋" w:cs="仿宋"/>
                <w:color w:val="auto"/>
                <w:szCs w:val="21"/>
                <w:highlight w:val="none"/>
              </w:rPr>
            </w:pPr>
          </w:p>
        </w:tc>
        <w:tc>
          <w:tcPr>
            <w:tcW w:w="3668" w:type="dxa"/>
            <w:shd w:val="clear" w:color="auto" w:fill="auto"/>
            <w:tcMar>
              <w:top w:w="15" w:type="dxa"/>
              <w:left w:w="15" w:type="dxa"/>
              <w:right w:w="15" w:type="dxa"/>
            </w:tcMar>
            <w:vAlign w:val="center"/>
          </w:tcPr>
          <w:p>
            <w:pPr>
              <w:widowControl/>
              <w:ind w:firstLine="0" w:firstLineChars="0"/>
              <w:jc w:val="left"/>
              <w:textAlignment w:val="center"/>
              <w:rPr>
                <w:rFonts w:ascii="仿宋" w:hAnsi="仿宋" w:eastAsia="仿宋" w:cs="仿宋"/>
                <w:color w:val="auto"/>
                <w:kern w:val="0"/>
                <w:szCs w:val="21"/>
                <w:highlight w:val="none"/>
                <w:lang w:bidi="ar"/>
              </w:rPr>
            </w:pPr>
            <w:r>
              <w:rPr>
                <w:rFonts w:hint="eastAsia" w:ascii="仿宋" w:hAnsi="仿宋" w:eastAsia="仿宋" w:cs="仿宋"/>
                <w:color w:val="auto"/>
                <w:kern w:val="0"/>
                <w:szCs w:val="21"/>
                <w:highlight w:val="none"/>
                <w:lang w:bidi="ar"/>
              </w:rPr>
              <w:t>人员培养，有运营团队搭建能力，</w:t>
            </w:r>
            <w:r>
              <w:rPr>
                <w:rFonts w:hint="eastAsia" w:ascii="仿宋" w:hAnsi="仿宋" w:eastAsia="仿宋" w:cs="仿宋"/>
                <w:color w:val="auto"/>
                <w:kern w:val="0"/>
                <w:szCs w:val="21"/>
                <w:highlight w:val="none"/>
                <w:lang w:val="en-US" w:eastAsia="zh-CN" w:bidi="ar"/>
              </w:rPr>
              <w:t>申请</w:t>
            </w:r>
            <w:r>
              <w:rPr>
                <w:rFonts w:hint="eastAsia" w:ascii="仿宋" w:hAnsi="仿宋" w:eastAsia="仿宋" w:cs="仿宋"/>
                <w:color w:val="auto"/>
                <w:kern w:val="0"/>
                <w:szCs w:val="21"/>
                <w:highlight w:val="none"/>
                <w:lang w:bidi="ar"/>
              </w:rPr>
              <w:t>人需提供完善的人员培养方案。评</w:t>
            </w:r>
            <w:r>
              <w:rPr>
                <w:rFonts w:hint="eastAsia" w:ascii="仿宋" w:hAnsi="仿宋" w:eastAsia="仿宋" w:cs="仿宋"/>
                <w:color w:val="auto"/>
                <w:kern w:val="0"/>
                <w:szCs w:val="21"/>
                <w:highlight w:val="none"/>
                <w:lang w:val="en-US" w:eastAsia="zh-CN" w:bidi="ar"/>
              </w:rPr>
              <w:t>审</w:t>
            </w:r>
            <w:r>
              <w:rPr>
                <w:rFonts w:hint="eastAsia" w:ascii="仿宋" w:hAnsi="仿宋" w:eastAsia="仿宋" w:cs="仿宋"/>
                <w:color w:val="auto"/>
                <w:kern w:val="0"/>
                <w:szCs w:val="21"/>
                <w:highlight w:val="none"/>
                <w:lang w:bidi="ar"/>
              </w:rPr>
              <w:t>委员会根据方案的完整性、可行性、前瞻性等进行综合评审。</w:t>
            </w:r>
            <w:r>
              <w:rPr>
                <w:rFonts w:hint="eastAsia" w:ascii="仿宋" w:hAnsi="仿宋" w:eastAsia="仿宋" w:cs="仿宋"/>
                <w:color w:val="auto"/>
                <w:kern w:val="0"/>
                <w:szCs w:val="21"/>
                <w:highlight w:val="none"/>
                <w:lang w:val="en-US" w:eastAsia="zh-CN" w:bidi="ar"/>
              </w:rPr>
              <w:t>人员培养方案完整、可行性强、具有前瞻性且综合评价为</w:t>
            </w:r>
            <w:r>
              <w:rPr>
                <w:rFonts w:hint="eastAsia" w:ascii="仿宋" w:hAnsi="仿宋" w:eastAsia="仿宋" w:cs="仿宋"/>
                <w:color w:val="auto"/>
                <w:kern w:val="0"/>
                <w:szCs w:val="21"/>
                <w:highlight w:val="none"/>
                <w:lang w:bidi="ar"/>
              </w:rPr>
              <w:t>优秀</w:t>
            </w:r>
            <w:r>
              <w:rPr>
                <w:rFonts w:hint="eastAsia" w:ascii="仿宋" w:hAnsi="仿宋" w:eastAsia="仿宋" w:cs="仿宋"/>
                <w:color w:val="auto"/>
                <w:kern w:val="0"/>
                <w:szCs w:val="21"/>
                <w:highlight w:val="none"/>
                <w:lang w:eastAsia="zh-CN" w:bidi="ar"/>
              </w:rPr>
              <w:t>的，</w:t>
            </w:r>
            <w:r>
              <w:rPr>
                <w:rFonts w:hint="eastAsia" w:ascii="仿宋" w:hAnsi="仿宋" w:eastAsia="仿宋" w:cs="仿宋"/>
                <w:color w:val="auto"/>
                <w:kern w:val="0"/>
                <w:szCs w:val="21"/>
                <w:highlight w:val="none"/>
                <w:lang w:bidi="ar"/>
              </w:rPr>
              <w:t>得6分</w:t>
            </w:r>
            <w:r>
              <w:rPr>
                <w:rFonts w:hint="eastAsia" w:ascii="仿宋" w:hAnsi="仿宋" w:eastAsia="仿宋" w:cs="仿宋"/>
                <w:color w:val="auto"/>
                <w:kern w:val="0"/>
                <w:szCs w:val="21"/>
                <w:highlight w:val="none"/>
                <w:lang w:eastAsia="zh-CN" w:bidi="ar"/>
              </w:rPr>
              <w:t>；</w:t>
            </w:r>
            <w:r>
              <w:rPr>
                <w:rFonts w:hint="eastAsia" w:ascii="仿宋" w:hAnsi="仿宋" w:eastAsia="仿宋" w:cs="仿宋"/>
                <w:color w:val="auto"/>
                <w:kern w:val="0"/>
                <w:szCs w:val="21"/>
                <w:highlight w:val="none"/>
                <w:lang w:val="en-US" w:eastAsia="zh-CN" w:bidi="ar"/>
              </w:rPr>
              <w:t>人员培养方案基本完整、有一定可行性、有一定前瞻性且综合评价为</w:t>
            </w:r>
            <w:r>
              <w:rPr>
                <w:rFonts w:hint="eastAsia" w:ascii="仿宋" w:hAnsi="仿宋" w:eastAsia="仿宋" w:cs="仿宋"/>
                <w:color w:val="auto"/>
                <w:kern w:val="0"/>
                <w:szCs w:val="21"/>
                <w:highlight w:val="none"/>
                <w:lang w:bidi="ar"/>
              </w:rPr>
              <w:t>良好</w:t>
            </w:r>
            <w:r>
              <w:rPr>
                <w:rFonts w:hint="eastAsia" w:ascii="仿宋" w:hAnsi="仿宋" w:eastAsia="仿宋" w:cs="仿宋"/>
                <w:color w:val="auto"/>
                <w:kern w:val="0"/>
                <w:szCs w:val="21"/>
                <w:highlight w:val="none"/>
                <w:lang w:eastAsia="zh-CN" w:bidi="ar"/>
              </w:rPr>
              <w:t>的，</w:t>
            </w:r>
            <w:r>
              <w:rPr>
                <w:rFonts w:hint="eastAsia" w:ascii="仿宋" w:hAnsi="仿宋" w:eastAsia="仿宋" w:cs="仿宋"/>
                <w:color w:val="auto"/>
                <w:kern w:val="0"/>
                <w:szCs w:val="21"/>
                <w:highlight w:val="none"/>
                <w:lang w:bidi="ar"/>
              </w:rPr>
              <w:t>得</w:t>
            </w:r>
            <w:r>
              <w:rPr>
                <w:rFonts w:hint="eastAsia" w:eastAsia="仿宋"/>
                <w:color w:val="auto"/>
                <w:kern w:val="0"/>
                <w:szCs w:val="21"/>
                <w:highlight w:val="none"/>
                <w:lang w:bidi="ar"/>
              </w:rPr>
              <w:t>4</w:t>
            </w:r>
            <w:r>
              <w:rPr>
                <w:rFonts w:ascii="仿宋" w:hAnsi="仿宋" w:eastAsia="仿宋" w:cs="仿宋"/>
                <w:color w:val="auto"/>
                <w:kern w:val="0"/>
                <w:szCs w:val="21"/>
                <w:highlight w:val="none"/>
                <w:lang w:bidi="ar"/>
              </w:rPr>
              <w:t>分</w:t>
            </w:r>
            <w:r>
              <w:rPr>
                <w:rFonts w:hint="eastAsia" w:ascii="仿宋" w:hAnsi="仿宋" w:eastAsia="仿宋" w:cs="仿宋"/>
                <w:color w:val="auto"/>
                <w:kern w:val="0"/>
                <w:szCs w:val="21"/>
                <w:highlight w:val="none"/>
                <w:lang w:eastAsia="zh-CN" w:bidi="ar"/>
              </w:rPr>
              <w:t>；</w:t>
            </w:r>
            <w:r>
              <w:rPr>
                <w:rFonts w:hint="eastAsia" w:ascii="仿宋" w:hAnsi="仿宋" w:eastAsia="仿宋" w:cs="仿宋"/>
                <w:color w:val="auto"/>
                <w:kern w:val="0"/>
                <w:szCs w:val="21"/>
                <w:highlight w:val="none"/>
                <w:lang w:val="en-US" w:eastAsia="zh-CN" w:bidi="ar"/>
              </w:rPr>
              <w:t>人员培养方案不够完整、可行性一般、不具有前瞻性且综合评价为</w:t>
            </w:r>
            <w:r>
              <w:rPr>
                <w:rFonts w:hint="eastAsia" w:ascii="仿宋" w:hAnsi="仿宋" w:eastAsia="仿宋" w:cs="仿宋"/>
                <w:color w:val="auto"/>
                <w:kern w:val="0"/>
                <w:szCs w:val="21"/>
                <w:highlight w:val="none"/>
                <w:lang w:bidi="ar"/>
              </w:rPr>
              <w:t>合格</w:t>
            </w:r>
            <w:r>
              <w:rPr>
                <w:rFonts w:hint="eastAsia" w:ascii="仿宋" w:hAnsi="仿宋" w:eastAsia="仿宋" w:cs="仿宋"/>
                <w:color w:val="auto"/>
                <w:kern w:val="0"/>
                <w:szCs w:val="21"/>
                <w:highlight w:val="none"/>
                <w:lang w:eastAsia="zh-CN" w:bidi="ar"/>
              </w:rPr>
              <w:t>的，</w:t>
            </w:r>
            <w:r>
              <w:rPr>
                <w:rFonts w:hint="eastAsia" w:ascii="仿宋" w:hAnsi="仿宋" w:eastAsia="仿宋" w:cs="仿宋"/>
                <w:color w:val="auto"/>
                <w:kern w:val="0"/>
                <w:szCs w:val="21"/>
                <w:highlight w:val="none"/>
                <w:lang w:bidi="ar"/>
              </w:rPr>
              <w:t>得2分</w:t>
            </w:r>
            <w:r>
              <w:rPr>
                <w:rFonts w:hint="eastAsia" w:ascii="仿宋" w:hAnsi="仿宋" w:eastAsia="仿宋" w:cs="仿宋"/>
                <w:color w:val="auto"/>
                <w:kern w:val="0"/>
                <w:szCs w:val="21"/>
                <w:highlight w:val="none"/>
                <w:lang w:eastAsia="zh-CN" w:bidi="ar"/>
              </w:rPr>
              <w:t>；</w:t>
            </w:r>
            <w:r>
              <w:rPr>
                <w:rFonts w:hint="eastAsia" w:ascii="仿宋" w:hAnsi="仿宋" w:eastAsia="仿宋" w:cs="仿宋"/>
                <w:color w:val="auto"/>
                <w:kern w:val="0"/>
                <w:szCs w:val="21"/>
                <w:highlight w:val="none"/>
                <w:lang w:bidi="ar"/>
              </w:rPr>
              <w:t>不合格或未提供的不得分。</w:t>
            </w:r>
          </w:p>
        </w:tc>
        <w:tc>
          <w:tcPr>
            <w:tcW w:w="2460" w:type="dxa"/>
            <w:shd w:val="clear" w:color="auto" w:fill="auto"/>
            <w:tcMar>
              <w:top w:w="15" w:type="dxa"/>
              <w:left w:w="15" w:type="dxa"/>
              <w:right w:w="15" w:type="dxa"/>
            </w:tcMar>
            <w:vAlign w:val="center"/>
          </w:tcPr>
          <w:p>
            <w:pPr>
              <w:widowControl/>
              <w:ind w:firstLine="0" w:firstLineChars="0"/>
              <w:jc w:val="left"/>
              <w:textAlignment w:val="center"/>
              <w:rPr>
                <w:rFonts w:ascii="仿宋" w:hAnsi="仿宋" w:eastAsia="仿宋" w:cs="仿宋"/>
                <w:color w:val="auto"/>
                <w:kern w:val="0"/>
                <w:szCs w:val="21"/>
                <w:highlight w:val="none"/>
                <w:lang w:bidi="ar"/>
              </w:rPr>
            </w:pPr>
          </w:p>
        </w:tc>
        <w:tc>
          <w:tcPr>
            <w:tcW w:w="873" w:type="dxa"/>
            <w:shd w:val="clear" w:color="auto" w:fill="auto"/>
            <w:tcMar>
              <w:top w:w="15" w:type="dxa"/>
              <w:left w:w="15" w:type="dxa"/>
              <w:right w:w="15" w:type="dxa"/>
            </w:tcMar>
            <w:vAlign w:val="center"/>
          </w:tcPr>
          <w:p>
            <w:pPr>
              <w:widowControl/>
              <w:ind w:firstLine="0" w:firstLineChars="0"/>
              <w:jc w:val="center"/>
              <w:textAlignment w:val="center"/>
              <w:rPr>
                <w:rFonts w:eastAsia="仿宋"/>
                <w:color w:val="auto"/>
                <w:szCs w:val="21"/>
                <w:highlight w:val="none"/>
              </w:rPr>
            </w:pPr>
            <w:r>
              <w:rPr>
                <w:rFonts w:hint="eastAsia" w:eastAsia="仿宋"/>
                <w:color w:val="auto"/>
                <w:kern w:val="0"/>
                <w:szCs w:val="21"/>
                <w:highlight w:val="none"/>
                <w:lang w:bidi="ar"/>
              </w:rPr>
              <w:t>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9" w:hRule="atLeast"/>
        </w:trPr>
        <w:tc>
          <w:tcPr>
            <w:tcW w:w="1029" w:type="dxa"/>
            <w:vMerge w:val="continue"/>
            <w:shd w:val="clear" w:color="auto" w:fill="auto"/>
            <w:tcMar>
              <w:top w:w="15" w:type="dxa"/>
              <w:left w:w="15" w:type="dxa"/>
              <w:right w:w="15" w:type="dxa"/>
            </w:tcMar>
            <w:vAlign w:val="center"/>
          </w:tcPr>
          <w:p>
            <w:pPr>
              <w:ind w:firstLine="640"/>
              <w:jc w:val="center"/>
              <w:rPr>
                <w:rFonts w:ascii="仿宋" w:hAnsi="仿宋" w:eastAsia="仿宋" w:cs="仿宋"/>
                <w:color w:val="auto"/>
                <w:szCs w:val="21"/>
                <w:highlight w:val="none"/>
              </w:rPr>
            </w:pPr>
          </w:p>
        </w:tc>
        <w:tc>
          <w:tcPr>
            <w:tcW w:w="1108" w:type="dxa"/>
            <w:vMerge w:val="continue"/>
            <w:shd w:val="clear" w:color="auto" w:fill="auto"/>
            <w:tcMar>
              <w:top w:w="15" w:type="dxa"/>
              <w:left w:w="15" w:type="dxa"/>
              <w:right w:w="15" w:type="dxa"/>
            </w:tcMar>
            <w:vAlign w:val="center"/>
          </w:tcPr>
          <w:p>
            <w:pPr>
              <w:ind w:firstLine="0" w:firstLineChars="0"/>
              <w:rPr>
                <w:rFonts w:ascii="仿宋" w:hAnsi="仿宋" w:eastAsia="仿宋" w:cs="仿宋"/>
                <w:color w:val="auto"/>
                <w:szCs w:val="21"/>
                <w:highlight w:val="none"/>
              </w:rPr>
            </w:pPr>
          </w:p>
        </w:tc>
        <w:tc>
          <w:tcPr>
            <w:tcW w:w="3668" w:type="dxa"/>
            <w:shd w:val="clear" w:color="auto" w:fill="auto"/>
            <w:tcMar>
              <w:top w:w="15" w:type="dxa"/>
              <w:left w:w="15" w:type="dxa"/>
              <w:right w:w="15" w:type="dxa"/>
            </w:tcMar>
            <w:vAlign w:val="center"/>
          </w:tcPr>
          <w:p>
            <w:pPr>
              <w:widowControl/>
              <w:ind w:firstLine="0" w:firstLineChars="0"/>
              <w:jc w:val="left"/>
              <w:textAlignment w:val="center"/>
              <w:rPr>
                <w:rFonts w:ascii="仿宋" w:hAnsi="仿宋" w:eastAsia="仿宋" w:cs="仿宋"/>
                <w:color w:val="auto"/>
                <w:kern w:val="0"/>
                <w:szCs w:val="21"/>
                <w:highlight w:val="none"/>
                <w:lang w:bidi="ar"/>
              </w:rPr>
            </w:pPr>
            <w:r>
              <w:rPr>
                <w:rFonts w:hint="eastAsia" w:ascii="仿宋" w:hAnsi="仿宋" w:eastAsia="仿宋" w:cs="仿宋"/>
                <w:color w:val="auto"/>
                <w:kern w:val="0"/>
                <w:szCs w:val="21"/>
                <w:highlight w:val="none"/>
                <w:lang w:bidi="ar"/>
              </w:rPr>
              <w:t>安全管理，着眼于项目安全管理的风险预防、应急预案等，提出系统的安全管理方案，评</w:t>
            </w:r>
            <w:r>
              <w:rPr>
                <w:rFonts w:hint="eastAsia" w:ascii="仿宋" w:hAnsi="仿宋" w:eastAsia="仿宋" w:cs="仿宋"/>
                <w:color w:val="auto"/>
                <w:kern w:val="0"/>
                <w:szCs w:val="21"/>
                <w:highlight w:val="none"/>
                <w:lang w:val="en-US" w:eastAsia="zh-CN" w:bidi="ar"/>
              </w:rPr>
              <w:t>审</w:t>
            </w:r>
            <w:r>
              <w:rPr>
                <w:rFonts w:hint="eastAsia" w:ascii="仿宋" w:hAnsi="仿宋" w:eastAsia="仿宋" w:cs="仿宋"/>
                <w:color w:val="auto"/>
                <w:kern w:val="0"/>
                <w:szCs w:val="21"/>
                <w:highlight w:val="none"/>
                <w:lang w:bidi="ar"/>
              </w:rPr>
              <w:t>委员会根据方案的完整性、前瞻性、方便执行性等进行综合评审。</w:t>
            </w:r>
            <w:r>
              <w:rPr>
                <w:rFonts w:hint="eastAsia" w:ascii="仿宋" w:hAnsi="仿宋" w:eastAsia="仿宋" w:cs="仿宋"/>
                <w:color w:val="auto"/>
                <w:kern w:val="0"/>
                <w:szCs w:val="21"/>
                <w:highlight w:val="none"/>
                <w:lang w:val="en-US" w:eastAsia="zh-CN" w:bidi="ar"/>
              </w:rPr>
              <w:t>安全管理方案完整、具有前瞻性、方便执行且综合评价为</w:t>
            </w:r>
            <w:r>
              <w:rPr>
                <w:rFonts w:hint="eastAsia" w:ascii="仿宋" w:hAnsi="仿宋" w:eastAsia="仿宋" w:cs="仿宋"/>
                <w:color w:val="auto"/>
                <w:kern w:val="0"/>
                <w:szCs w:val="21"/>
                <w:highlight w:val="none"/>
                <w:lang w:bidi="ar"/>
              </w:rPr>
              <w:t>优秀</w:t>
            </w:r>
            <w:r>
              <w:rPr>
                <w:rFonts w:hint="eastAsia" w:ascii="仿宋" w:hAnsi="仿宋" w:eastAsia="仿宋" w:cs="仿宋"/>
                <w:color w:val="auto"/>
                <w:kern w:val="0"/>
                <w:szCs w:val="21"/>
                <w:highlight w:val="none"/>
                <w:lang w:eastAsia="zh-CN" w:bidi="ar"/>
              </w:rPr>
              <w:t>的，</w:t>
            </w:r>
            <w:r>
              <w:rPr>
                <w:rFonts w:hint="eastAsia" w:ascii="仿宋" w:hAnsi="仿宋" w:eastAsia="仿宋" w:cs="仿宋"/>
                <w:color w:val="auto"/>
                <w:kern w:val="0"/>
                <w:szCs w:val="21"/>
                <w:highlight w:val="none"/>
                <w:lang w:bidi="ar"/>
              </w:rPr>
              <w:t>得</w:t>
            </w:r>
            <w:r>
              <w:rPr>
                <w:rFonts w:hint="eastAsia" w:ascii="仿宋" w:hAnsi="仿宋" w:eastAsia="仿宋" w:cs="仿宋"/>
                <w:color w:val="auto"/>
                <w:kern w:val="0"/>
                <w:szCs w:val="21"/>
                <w:highlight w:val="none"/>
                <w:lang w:val="en-US" w:eastAsia="zh-CN" w:bidi="ar"/>
              </w:rPr>
              <w:t>6</w:t>
            </w:r>
            <w:r>
              <w:rPr>
                <w:rFonts w:hint="eastAsia" w:ascii="仿宋" w:hAnsi="仿宋" w:eastAsia="仿宋" w:cs="仿宋"/>
                <w:color w:val="auto"/>
                <w:kern w:val="0"/>
                <w:szCs w:val="21"/>
                <w:highlight w:val="none"/>
                <w:lang w:bidi="ar"/>
              </w:rPr>
              <w:t>分</w:t>
            </w:r>
            <w:r>
              <w:rPr>
                <w:rFonts w:hint="eastAsia" w:ascii="仿宋" w:hAnsi="仿宋" w:eastAsia="仿宋" w:cs="仿宋"/>
                <w:color w:val="auto"/>
                <w:kern w:val="0"/>
                <w:szCs w:val="21"/>
                <w:highlight w:val="none"/>
                <w:lang w:eastAsia="zh-CN" w:bidi="ar"/>
              </w:rPr>
              <w:t>；</w:t>
            </w:r>
            <w:r>
              <w:rPr>
                <w:rFonts w:hint="eastAsia" w:ascii="仿宋" w:hAnsi="仿宋" w:eastAsia="仿宋" w:cs="仿宋"/>
                <w:color w:val="auto"/>
                <w:kern w:val="0"/>
                <w:szCs w:val="21"/>
                <w:highlight w:val="none"/>
                <w:lang w:val="en-US" w:eastAsia="zh-CN" w:bidi="ar"/>
              </w:rPr>
              <w:t>安全管理方案基本完整、具有一定前瞻性、具有一定可行性且综合评价为</w:t>
            </w:r>
            <w:r>
              <w:rPr>
                <w:rFonts w:hint="eastAsia" w:ascii="仿宋" w:hAnsi="仿宋" w:eastAsia="仿宋" w:cs="仿宋"/>
                <w:color w:val="auto"/>
                <w:kern w:val="0"/>
                <w:szCs w:val="21"/>
                <w:highlight w:val="none"/>
                <w:lang w:bidi="ar"/>
              </w:rPr>
              <w:t>良好</w:t>
            </w:r>
            <w:r>
              <w:rPr>
                <w:rFonts w:hint="eastAsia" w:ascii="仿宋" w:hAnsi="仿宋" w:eastAsia="仿宋" w:cs="仿宋"/>
                <w:color w:val="auto"/>
                <w:kern w:val="0"/>
                <w:szCs w:val="21"/>
                <w:highlight w:val="none"/>
                <w:lang w:eastAsia="zh-CN" w:bidi="ar"/>
              </w:rPr>
              <w:t>的，</w:t>
            </w:r>
            <w:r>
              <w:rPr>
                <w:rFonts w:hint="eastAsia" w:ascii="仿宋" w:hAnsi="仿宋" w:eastAsia="仿宋" w:cs="仿宋"/>
                <w:color w:val="auto"/>
                <w:kern w:val="0"/>
                <w:szCs w:val="21"/>
                <w:highlight w:val="none"/>
                <w:lang w:bidi="ar"/>
              </w:rPr>
              <w:t>得</w:t>
            </w:r>
            <w:r>
              <w:rPr>
                <w:rFonts w:hint="eastAsia" w:ascii="仿宋" w:hAnsi="仿宋" w:eastAsia="仿宋" w:cs="仿宋"/>
                <w:color w:val="auto"/>
                <w:kern w:val="0"/>
                <w:szCs w:val="21"/>
                <w:highlight w:val="none"/>
                <w:lang w:val="en-US" w:eastAsia="zh-CN" w:bidi="ar"/>
              </w:rPr>
              <w:t>4</w:t>
            </w:r>
            <w:r>
              <w:rPr>
                <w:rFonts w:hint="eastAsia" w:ascii="仿宋" w:hAnsi="仿宋" w:eastAsia="仿宋" w:cs="仿宋"/>
                <w:color w:val="auto"/>
                <w:kern w:val="0"/>
                <w:szCs w:val="21"/>
                <w:highlight w:val="none"/>
                <w:lang w:bidi="ar"/>
              </w:rPr>
              <w:t>分</w:t>
            </w:r>
            <w:r>
              <w:rPr>
                <w:rFonts w:hint="eastAsia" w:ascii="仿宋" w:hAnsi="仿宋" w:eastAsia="仿宋" w:cs="仿宋"/>
                <w:color w:val="auto"/>
                <w:kern w:val="0"/>
                <w:szCs w:val="21"/>
                <w:highlight w:val="none"/>
                <w:lang w:eastAsia="zh-CN" w:bidi="ar"/>
              </w:rPr>
              <w:t>；</w:t>
            </w:r>
            <w:r>
              <w:rPr>
                <w:rFonts w:hint="eastAsia" w:ascii="仿宋" w:hAnsi="仿宋" w:eastAsia="仿宋" w:cs="仿宋"/>
                <w:color w:val="auto"/>
                <w:kern w:val="0"/>
                <w:szCs w:val="21"/>
                <w:highlight w:val="none"/>
                <w:lang w:val="en-US" w:eastAsia="zh-CN" w:bidi="ar"/>
              </w:rPr>
              <w:t>安全管理方案不够完整、不具有前瞻性、不方便执行且综合评价为</w:t>
            </w:r>
            <w:r>
              <w:rPr>
                <w:rFonts w:hint="eastAsia" w:ascii="仿宋" w:hAnsi="仿宋" w:eastAsia="仿宋" w:cs="仿宋"/>
                <w:color w:val="auto"/>
                <w:kern w:val="0"/>
                <w:szCs w:val="21"/>
                <w:highlight w:val="none"/>
                <w:lang w:bidi="ar"/>
              </w:rPr>
              <w:t>合格</w:t>
            </w:r>
            <w:r>
              <w:rPr>
                <w:rFonts w:hint="eastAsia" w:ascii="仿宋" w:hAnsi="仿宋" w:eastAsia="仿宋" w:cs="仿宋"/>
                <w:color w:val="auto"/>
                <w:kern w:val="0"/>
                <w:szCs w:val="21"/>
                <w:highlight w:val="none"/>
                <w:lang w:eastAsia="zh-CN" w:bidi="ar"/>
              </w:rPr>
              <w:t>的，</w:t>
            </w:r>
            <w:r>
              <w:rPr>
                <w:rFonts w:hint="eastAsia" w:ascii="仿宋" w:hAnsi="仿宋" w:eastAsia="仿宋" w:cs="仿宋"/>
                <w:color w:val="auto"/>
                <w:kern w:val="0"/>
                <w:szCs w:val="21"/>
                <w:highlight w:val="none"/>
                <w:lang w:bidi="ar"/>
              </w:rPr>
              <w:t>得</w:t>
            </w:r>
            <w:r>
              <w:rPr>
                <w:rFonts w:hint="eastAsia" w:ascii="仿宋" w:hAnsi="仿宋" w:eastAsia="仿宋" w:cs="仿宋"/>
                <w:color w:val="auto"/>
                <w:kern w:val="0"/>
                <w:szCs w:val="21"/>
                <w:highlight w:val="none"/>
                <w:lang w:val="en-US" w:eastAsia="zh-CN" w:bidi="ar"/>
              </w:rPr>
              <w:t>2</w:t>
            </w:r>
            <w:r>
              <w:rPr>
                <w:rFonts w:hint="eastAsia" w:ascii="仿宋" w:hAnsi="仿宋" w:eastAsia="仿宋" w:cs="仿宋"/>
                <w:color w:val="auto"/>
                <w:kern w:val="0"/>
                <w:szCs w:val="21"/>
                <w:highlight w:val="none"/>
                <w:lang w:bidi="ar"/>
              </w:rPr>
              <w:t>分</w:t>
            </w:r>
            <w:r>
              <w:rPr>
                <w:rFonts w:hint="eastAsia" w:ascii="仿宋" w:hAnsi="仿宋" w:eastAsia="仿宋" w:cs="仿宋"/>
                <w:color w:val="auto"/>
                <w:kern w:val="0"/>
                <w:szCs w:val="21"/>
                <w:highlight w:val="none"/>
                <w:lang w:eastAsia="zh-CN" w:bidi="ar"/>
              </w:rPr>
              <w:t>；</w:t>
            </w:r>
            <w:r>
              <w:rPr>
                <w:rFonts w:hint="eastAsia" w:ascii="仿宋" w:hAnsi="仿宋" w:eastAsia="仿宋" w:cs="仿宋"/>
                <w:color w:val="auto"/>
                <w:kern w:val="0"/>
                <w:szCs w:val="21"/>
                <w:highlight w:val="none"/>
                <w:lang w:bidi="ar"/>
              </w:rPr>
              <w:t>不合格或未提供的不得分。</w:t>
            </w:r>
          </w:p>
        </w:tc>
        <w:tc>
          <w:tcPr>
            <w:tcW w:w="2460" w:type="dxa"/>
            <w:shd w:val="clear" w:color="auto" w:fill="auto"/>
            <w:tcMar>
              <w:top w:w="15" w:type="dxa"/>
              <w:left w:w="15" w:type="dxa"/>
              <w:right w:w="15" w:type="dxa"/>
            </w:tcMar>
            <w:vAlign w:val="center"/>
          </w:tcPr>
          <w:p>
            <w:pPr>
              <w:widowControl/>
              <w:ind w:firstLine="0" w:firstLineChars="0"/>
              <w:jc w:val="left"/>
              <w:textAlignment w:val="center"/>
              <w:rPr>
                <w:rFonts w:ascii="仿宋" w:hAnsi="仿宋" w:eastAsia="仿宋" w:cs="仿宋"/>
                <w:color w:val="auto"/>
                <w:kern w:val="0"/>
                <w:szCs w:val="21"/>
                <w:highlight w:val="none"/>
                <w:lang w:bidi="ar"/>
              </w:rPr>
            </w:pPr>
          </w:p>
        </w:tc>
        <w:tc>
          <w:tcPr>
            <w:tcW w:w="873" w:type="dxa"/>
            <w:shd w:val="clear" w:color="auto" w:fill="auto"/>
            <w:tcMar>
              <w:top w:w="15" w:type="dxa"/>
              <w:left w:w="15" w:type="dxa"/>
              <w:right w:w="15" w:type="dxa"/>
            </w:tcMar>
            <w:vAlign w:val="center"/>
          </w:tcPr>
          <w:p>
            <w:pPr>
              <w:widowControl/>
              <w:ind w:firstLine="0" w:firstLineChars="0"/>
              <w:jc w:val="center"/>
              <w:textAlignment w:val="center"/>
              <w:rPr>
                <w:rFonts w:hint="eastAsia" w:eastAsia="仿宋"/>
                <w:color w:val="auto"/>
                <w:kern w:val="0"/>
                <w:szCs w:val="21"/>
                <w:highlight w:val="none"/>
                <w:lang w:eastAsia="zh-CN" w:bidi="ar"/>
              </w:rPr>
            </w:pPr>
            <w:r>
              <w:rPr>
                <w:rFonts w:hint="eastAsia" w:eastAsia="仿宋"/>
                <w:color w:val="auto"/>
                <w:kern w:val="0"/>
                <w:szCs w:val="21"/>
                <w:highlight w:val="none"/>
                <w:lang w:val="en-US" w:eastAsia="zh-CN" w:bidi="ar"/>
              </w:rPr>
              <w:t>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66" w:hRule="atLeast"/>
        </w:trPr>
        <w:tc>
          <w:tcPr>
            <w:tcW w:w="5805" w:type="dxa"/>
            <w:gridSpan w:val="3"/>
            <w:shd w:val="clear" w:color="auto" w:fill="auto"/>
            <w:tcMar>
              <w:top w:w="15" w:type="dxa"/>
              <w:left w:w="15" w:type="dxa"/>
              <w:right w:w="15" w:type="dxa"/>
            </w:tcMar>
            <w:vAlign w:val="center"/>
          </w:tcPr>
          <w:p>
            <w:pPr>
              <w:widowControl/>
              <w:ind w:firstLine="640"/>
              <w:jc w:val="center"/>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合计</w:t>
            </w:r>
          </w:p>
        </w:tc>
        <w:tc>
          <w:tcPr>
            <w:tcW w:w="2460" w:type="dxa"/>
            <w:shd w:val="clear" w:color="auto" w:fill="auto"/>
            <w:tcMar>
              <w:top w:w="15" w:type="dxa"/>
              <w:left w:w="15" w:type="dxa"/>
              <w:right w:w="15" w:type="dxa"/>
            </w:tcMar>
            <w:vAlign w:val="center"/>
          </w:tcPr>
          <w:p>
            <w:pPr>
              <w:ind w:firstLine="640"/>
              <w:jc w:val="center"/>
              <w:rPr>
                <w:rFonts w:ascii="仿宋" w:hAnsi="仿宋" w:eastAsia="仿宋" w:cs="仿宋"/>
                <w:color w:val="auto"/>
                <w:szCs w:val="21"/>
                <w:highlight w:val="none"/>
              </w:rPr>
            </w:pPr>
          </w:p>
        </w:tc>
        <w:tc>
          <w:tcPr>
            <w:tcW w:w="873" w:type="dxa"/>
            <w:shd w:val="clear" w:color="auto" w:fill="auto"/>
            <w:tcMar>
              <w:top w:w="15" w:type="dxa"/>
              <w:left w:w="15" w:type="dxa"/>
              <w:right w:w="15" w:type="dxa"/>
            </w:tcMar>
            <w:vAlign w:val="center"/>
          </w:tcPr>
          <w:p>
            <w:pPr>
              <w:widowControl/>
              <w:ind w:firstLine="0" w:firstLineChars="0"/>
              <w:jc w:val="center"/>
              <w:textAlignment w:val="center"/>
              <w:rPr>
                <w:rFonts w:ascii="仿宋" w:hAnsi="仿宋" w:eastAsia="仿宋" w:cs="仿宋"/>
                <w:color w:val="auto"/>
                <w:szCs w:val="21"/>
                <w:highlight w:val="none"/>
              </w:rPr>
            </w:pPr>
            <w:r>
              <w:rPr>
                <w:rFonts w:eastAsia="仿宋"/>
                <w:color w:val="auto"/>
                <w:kern w:val="0"/>
                <w:szCs w:val="21"/>
                <w:highlight w:val="none"/>
                <w:lang w:bidi="ar"/>
              </w:rPr>
              <w:t>100</w:t>
            </w:r>
          </w:p>
        </w:tc>
      </w:tr>
    </w:tbl>
    <w:p>
      <w:pPr>
        <w:ind w:firstLine="640"/>
        <w:rPr>
          <w:color w:val="auto"/>
          <w:highlight w:val="none"/>
        </w:rPr>
      </w:pPr>
      <w:r>
        <w:rPr>
          <w:rFonts w:hint="eastAsia"/>
          <w:color w:val="auto"/>
          <w:highlight w:val="none"/>
        </w:rPr>
        <w:t>7.确定拟实施合作对象</w:t>
      </w:r>
    </w:p>
    <w:p>
      <w:pPr>
        <w:ind w:firstLine="640"/>
        <w:rPr>
          <w:color w:val="auto"/>
          <w:highlight w:val="none"/>
        </w:rPr>
      </w:pPr>
      <w:r>
        <w:rPr>
          <w:rFonts w:hint="eastAsia"/>
          <w:color w:val="auto"/>
          <w:highlight w:val="none"/>
        </w:rPr>
        <w:t>遴选评审委员会根据《遴选文件》开展遴选评审。评审最高得分100分，超过</w:t>
      </w:r>
      <w:r>
        <w:rPr>
          <w:color w:val="auto"/>
          <w:highlight w:val="none"/>
        </w:rPr>
        <w:t>70</w:t>
      </w:r>
      <w:r>
        <w:rPr>
          <w:rFonts w:hint="eastAsia"/>
          <w:color w:val="auto"/>
          <w:highlight w:val="none"/>
        </w:rPr>
        <w:t>分视为合格申请人。</w:t>
      </w:r>
    </w:p>
    <w:p>
      <w:pPr>
        <w:ind w:firstLine="640"/>
        <w:rPr>
          <w:color w:val="auto"/>
          <w:highlight w:val="none"/>
        </w:rPr>
      </w:pPr>
      <w:r>
        <w:rPr>
          <w:rFonts w:hint="eastAsia"/>
          <w:color w:val="auto"/>
          <w:highlight w:val="none"/>
        </w:rPr>
        <w:t>符合要求且得分在</w:t>
      </w:r>
      <w:r>
        <w:rPr>
          <w:color w:val="auto"/>
          <w:highlight w:val="none"/>
        </w:rPr>
        <w:t>70</w:t>
      </w:r>
      <w:r>
        <w:rPr>
          <w:rFonts w:hint="eastAsia"/>
          <w:color w:val="auto"/>
          <w:highlight w:val="none"/>
        </w:rPr>
        <w:t>分（含）以上的申请人，按得分高低排序（得分低于</w:t>
      </w:r>
      <w:r>
        <w:rPr>
          <w:color w:val="auto"/>
          <w:highlight w:val="none"/>
        </w:rPr>
        <w:t>70</w:t>
      </w:r>
      <w:r>
        <w:rPr>
          <w:rFonts w:hint="eastAsia"/>
          <w:color w:val="auto"/>
          <w:highlight w:val="none"/>
        </w:rPr>
        <w:t>分的不参加排序），得分最高的申请人将作为长沙市土地开发建设有限责任公司拟实施合作的第一顺序对象。</w:t>
      </w:r>
    </w:p>
    <w:p>
      <w:pPr>
        <w:ind w:firstLine="640"/>
        <w:rPr>
          <w:color w:val="auto"/>
          <w:highlight w:val="none"/>
        </w:rPr>
      </w:pPr>
      <w:r>
        <w:rPr>
          <w:rFonts w:hint="eastAsia"/>
          <w:color w:val="auto"/>
          <w:highlight w:val="none"/>
        </w:rPr>
        <w:t>第一顺位申请人未能与招募主体签订正式合作协议的，招募主体有权选择第二顺序的申请人进行合作，以此类推，确定最终的合作伙伴或重新发布招募公告。</w:t>
      </w:r>
    </w:p>
    <w:p>
      <w:pPr>
        <w:ind w:firstLine="640"/>
        <w:rPr>
          <w:color w:val="auto"/>
          <w:highlight w:val="none"/>
        </w:rPr>
      </w:pPr>
      <w:r>
        <w:rPr>
          <w:rFonts w:hint="eastAsia"/>
          <w:color w:val="auto"/>
          <w:highlight w:val="none"/>
        </w:rPr>
        <w:t>8.评审过程保密</w:t>
      </w:r>
    </w:p>
    <w:p>
      <w:pPr>
        <w:ind w:firstLine="640"/>
        <w:rPr>
          <w:color w:val="auto"/>
          <w:highlight w:val="none"/>
        </w:rPr>
      </w:pPr>
      <w:r>
        <w:rPr>
          <w:rFonts w:hint="eastAsia"/>
          <w:color w:val="auto"/>
          <w:highlight w:val="none"/>
        </w:rPr>
        <w:t>遴选评审之后，直到授予遴选申请人合同止，凡是属于审查、澄清、评价和比较遴选的有关资料等，均不得向遴选申请人或其他与评审无关的人员透露。在评审期间，遴选申请人企图影响招募主体或遴选代理机构或评审委员会的任何活动，将导致合作申请被拒绝，并由其承担相应的法律责任。</w:t>
      </w:r>
    </w:p>
    <w:p>
      <w:pPr>
        <w:ind w:firstLine="640"/>
        <w:rPr>
          <w:color w:val="auto"/>
          <w:highlight w:val="none"/>
        </w:rPr>
      </w:pPr>
      <w:r>
        <w:rPr>
          <w:rFonts w:hint="eastAsia"/>
          <w:color w:val="auto"/>
          <w:highlight w:val="none"/>
        </w:rPr>
        <w:t>9.关于遴选申请人瑕疵滞后发现的处理规则：</w:t>
      </w:r>
    </w:p>
    <w:p>
      <w:pPr>
        <w:ind w:firstLine="640"/>
        <w:rPr>
          <w:color w:val="auto"/>
          <w:highlight w:val="none"/>
        </w:rPr>
      </w:pPr>
      <w:r>
        <w:rPr>
          <w:rFonts w:hint="eastAsia"/>
          <w:color w:val="auto"/>
          <w:highlight w:val="none"/>
        </w:rPr>
        <w:t>9.1 无论基于何种原因，各项本应作拒绝处理的情形即便未被及时发现而使该遴选申请人进入初审、详细评审或其它后续程序，包括已经签约的情形，一旦在任何时间被发现存在上述情形，则招募主体均有权随时视情形决定是否取消该遴选申请人的此前评议结果，或随时视情形决定是否对该遴选响应予以拒绝，并有权决定采取相应的补救或纠正措施。一旦该遴选申请人被拒绝或被取消该遴选申请人的此前评议结果，其现有的位置将被其他遴选申请人依序替代，相关的一切损失均由该遴选申请人承担。</w:t>
      </w:r>
    </w:p>
    <w:p>
      <w:pPr>
        <w:ind w:firstLine="640"/>
        <w:rPr>
          <w:color w:val="auto"/>
          <w:highlight w:val="none"/>
        </w:rPr>
      </w:pPr>
      <w:r>
        <w:rPr>
          <w:rFonts w:hint="eastAsia"/>
          <w:color w:val="auto"/>
          <w:highlight w:val="none"/>
        </w:rPr>
        <w:t>10.签订合作协议</w:t>
      </w:r>
    </w:p>
    <w:p>
      <w:pPr>
        <w:ind w:firstLine="640"/>
        <w:rPr>
          <w:color w:val="auto"/>
          <w:highlight w:val="none"/>
        </w:rPr>
      </w:pPr>
      <w:r>
        <w:rPr>
          <w:rFonts w:hint="eastAsia"/>
          <w:color w:val="auto"/>
          <w:highlight w:val="none"/>
        </w:rPr>
        <w:t>招募主体与第一顺序合作对象开展商务谈判并签订合作协议。签订合作协议后，未经招募主体事先给予书面同意不得将合作协议全部及任何权利、义务向第三方转让，否则将被视为严重违约，招募主体有权决定按照遴选申请人撤回响应、终止或解除合作协议处理或作出其它处理。</w:t>
      </w:r>
    </w:p>
    <w:p>
      <w:pPr>
        <w:ind w:firstLine="640"/>
        <w:rPr>
          <w:color w:val="auto"/>
          <w:highlight w:val="none"/>
        </w:rPr>
      </w:pPr>
      <w:r>
        <w:rPr>
          <w:rFonts w:hint="eastAsia"/>
          <w:color w:val="auto"/>
          <w:highlight w:val="none"/>
        </w:rPr>
        <w:br w:type="page"/>
      </w:r>
    </w:p>
    <w:p>
      <w:pPr>
        <w:ind w:firstLine="0" w:firstLineChars="0"/>
        <w:jc w:val="center"/>
        <w:outlineLvl w:val="0"/>
        <w:rPr>
          <w:rFonts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t>第四章、合作申请文件格式</w:t>
      </w:r>
    </w:p>
    <w:p>
      <w:pPr>
        <w:ind w:firstLine="640"/>
        <w:rPr>
          <w:color w:val="auto"/>
          <w:highlight w:val="none"/>
        </w:rPr>
      </w:pPr>
      <w:r>
        <w:rPr>
          <w:rFonts w:hint="eastAsia"/>
          <w:color w:val="auto"/>
          <w:highlight w:val="none"/>
        </w:rPr>
        <w:t>合作申请文件内容：</w:t>
      </w:r>
    </w:p>
    <w:p>
      <w:pPr>
        <w:ind w:firstLine="640"/>
        <w:rPr>
          <w:color w:val="auto"/>
          <w:highlight w:val="none"/>
        </w:rPr>
      </w:pPr>
      <w:r>
        <w:rPr>
          <w:rFonts w:hint="eastAsia"/>
          <w:color w:val="auto"/>
          <w:highlight w:val="none"/>
        </w:rPr>
        <w:t>一、承诺函</w:t>
      </w:r>
    </w:p>
    <w:p>
      <w:pPr>
        <w:ind w:firstLine="640"/>
        <w:rPr>
          <w:color w:val="auto"/>
          <w:highlight w:val="none"/>
        </w:rPr>
      </w:pPr>
      <w:r>
        <w:rPr>
          <w:rFonts w:hint="eastAsia"/>
          <w:color w:val="auto"/>
          <w:highlight w:val="none"/>
        </w:rPr>
        <w:t>二、法定代表人身份证明</w:t>
      </w:r>
    </w:p>
    <w:p>
      <w:pPr>
        <w:ind w:firstLine="640"/>
        <w:rPr>
          <w:color w:val="auto"/>
          <w:highlight w:val="none"/>
        </w:rPr>
      </w:pPr>
      <w:r>
        <w:rPr>
          <w:rFonts w:hint="eastAsia"/>
          <w:color w:val="auto"/>
          <w:highlight w:val="none"/>
        </w:rPr>
        <w:t>三、授权委托书</w:t>
      </w:r>
    </w:p>
    <w:p>
      <w:pPr>
        <w:ind w:firstLine="640"/>
        <w:rPr>
          <w:color w:val="auto"/>
          <w:highlight w:val="none"/>
        </w:rPr>
      </w:pPr>
      <w:r>
        <w:rPr>
          <w:rFonts w:hint="eastAsia"/>
          <w:color w:val="auto"/>
          <w:highlight w:val="none"/>
        </w:rPr>
        <w:t>四、信誉保证金</w:t>
      </w:r>
    </w:p>
    <w:p>
      <w:pPr>
        <w:ind w:firstLine="640"/>
        <w:rPr>
          <w:color w:val="auto"/>
          <w:highlight w:val="none"/>
        </w:rPr>
      </w:pPr>
      <w:r>
        <w:rPr>
          <w:rFonts w:hint="eastAsia"/>
          <w:color w:val="auto"/>
          <w:highlight w:val="none"/>
        </w:rPr>
        <w:t>五、申请人基本情况</w:t>
      </w:r>
    </w:p>
    <w:p>
      <w:pPr>
        <w:ind w:firstLine="640"/>
        <w:rPr>
          <w:color w:val="auto"/>
          <w:highlight w:val="none"/>
        </w:rPr>
      </w:pPr>
      <w:r>
        <w:rPr>
          <w:rFonts w:hint="eastAsia"/>
          <w:color w:val="auto"/>
          <w:highlight w:val="none"/>
        </w:rPr>
        <w:t>六、申请人财务状况</w:t>
      </w:r>
    </w:p>
    <w:p>
      <w:pPr>
        <w:ind w:firstLine="640"/>
        <w:rPr>
          <w:color w:val="auto"/>
          <w:highlight w:val="none"/>
        </w:rPr>
      </w:pPr>
      <w:r>
        <w:rPr>
          <w:rFonts w:hint="eastAsia"/>
          <w:color w:val="auto"/>
          <w:highlight w:val="none"/>
        </w:rPr>
        <w:t>七、应选报价</w:t>
      </w:r>
    </w:p>
    <w:p>
      <w:pPr>
        <w:ind w:firstLine="640"/>
        <w:rPr>
          <w:color w:val="auto"/>
          <w:highlight w:val="none"/>
        </w:rPr>
      </w:pPr>
      <w:r>
        <w:rPr>
          <w:rFonts w:hint="eastAsia"/>
          <w:color w:val="auto"/>
          <w:highlight w:val="none"/>
        </w:rPr>
        <w:t>八、综合实力</w:t>
      </w:r>
    </w:p>
    <w:p>
      <w:pPr>
        <w:ind w:firstLine="640"/>
        <w:rPr>
          <w:rFonts w:hint="eastAsia" w:eastAsia="仿宋_GB2312"/>
          <w:color w:val="auto"/>
          <w:highlight w:val="none"/>
          <w:lang w:eastAsia="zh-CN"/>
        </w:rPr>
      </w:pPr>
      <w:r>
        <w:rPr>
          <w:rFonts w:hint="eastAsia"/>
          <w:color w:val="auto"/>
          <w:highlight w:val="none"/>
          <w:lang w:val="en-US" w:eastAsia="zh-CN"/>
        </w:rPr>
        <w:t>九</w:t>
      </w:r>
      <w:r>
        <w:rPr>
          <w:rFonts w:hint="eastAsia"/>
          <w:color w:val="auto"/>
          <w:highlight w:val="none"/>
        </w:rPr>
        <w:t>、</w:t>
      </w:r>
      <w:r>
        <w:rPr>
          <w:rFonts w:hint="eastAsia"/>
          <w:color w:val="auto"/>
          <w:highlight w:val="none"/>
          <w:lang w:val="en-US" w:eastAsia="zh-CN"/>
        </w:rPr>
        <w:t>技术方案</w:t>
      </w:r>
    </w:p>
    <w:p>
      <w:pPr>
        <w:ind w:left="0" w:leftChars="0" w:firstLine="640" w:firstLineChars="200"/>
        <w:rPr>
          <w:color w:val="auto"/>
          <w:highlight w:val="none"/>
        </w:rPr>
      </w:pPr>
      <w:r>
        <w:rPr>
          <w:rFonts w:hint="eastAsia"/>
          <w:color w:val="auto"/>
          <w:highlight w:val="none"/>
          <w:lang w:val="en-US" w:eastAsia="zh-CN"/>
        </w:rPr>
        <w:t>十、资格证明文件</w:t>
      </w:r>
      <w:r>
        <w:rPr>
          <w:rFonts w:hint="eastAsia"/>
          <w:color w:val="auto"/>
          <w:highlight w:val="none"/>
        </w:rPr>
        <w:br w:type="page"/>
      </w:r>
    </w:p>
    <w:p>
      <w:pPr>
        <w:ind w:firstLine="640"/>
        <w:rPr>
          <w:rFonts w:ascii="黑体" w:hAnsi="黑体" w:eastAsia="黑体" w:cs="黑体"/>
          <w:color w:val="auto"/>
          <w:highlight w:val="none"/>
        </w:rPr>
      </w:pPr>
      <w:r>
        <w:rPr>
          <w:rFonts w:hint="eastAsia" w:ascii="黑体" w:hAnsi="黑体" w:eastAsia="黑体" w:cs="黑体"/>
          <w:color w:val="auto"/>
          <w:highlight w:val="none"/>
        </w:rPr>
        <w:t>一、承诺函</w:t>
      </w:r>
    </w:p>
    <w:p>
      <w:pPr>
        <w:ind w:firstLine="0" w:firstLineChars="0"/>
        <w:rPr>
          <w:color w:val="auto"/>
          <w:highlight w:val="none"/>
        </w:rPr>
      </w:pPr>
      <w:r>
        <w:rPr>
          <w:rFonts w:hint="eastAsia"/>
          <w:color w:val="auto"/>
          <w:highlight w:val="none"/>
        </w:rPr>
        <w:t>长沙市土地开发建设有限责任公司：</w:t>
      </w:r>
    </w:p>
    <w:p>
      <w:pPr>
        <w:ind w:firstLine="640"/>
        <w:rPr>
          <w:color w:val="auto"/>
          <w:highlight w:val="none"/>
        </w:rPr>
      </w:pPr>
      <w:r>
        <w:rPr>
          <w:rFonts w:hint="eastAsia"/>
          <w:color w:val="auto"/>
          <w:highlight w:val="none"/>
        </w:rPr>
        <w:t>根据《</w:t>
      </w:r>
      <w:r>
        <w:rPr>
          <w:rFonts w:hint="eastAsia"/>
          <w:color w:val="auto"/>
          <w:highlight w:val="none"/>
          <w:lang w:eastAsia="zh-CN"/>
        </w:rPr>
        <w:t>长沙市产业投资集团有限公司下属长沙市土地开发建设有限责任公司公开招募长投新成公寓运营合作单位</w:t>
      </w:r>
      <w:r>
        <w:rPr>
          <w:rFonts w:hint="eastAsia"/>
          <w:color w:val="auto"/>
          <w:highlight w:val="none"/>
          <w:lang w:val="en-US" w:eastAsia="zh-CN"/>
        </w:rPr>
        <w:t>招募公告</w:t>
      </w:r>
      <w:r>
        <w:rPr>
          <w:rFonts w:hint="eastAsia"/>
          <w:color w:val="auto"/>
          <w:highlight w:val="none"/>
        </w:rPr>
        <w:t>》（以下简称“招募公告”），我单位作为意向合作单位，现郑重承诺如下：</w:t>
      </w:r>
    </w:p>
    <w:p>
      <w:pPr>
        <w:ind w:firstLine="640"/>
        <w:rPr>
          <w:color w:val="auto"/>
          <w:highlight w:val="none"/>
        </w:rPr>
      </w:pPr>
      <w:r>
        <w:rPr>
          <w:rFonts w:hint="eastAsia"/>
          <w:color w:val="auto"/>
          <w:highlight w:val="none"/>
        </w:rPr>
        <w:t>（一）我单位保证用于投资长沙市土地开发建设有限责任公司合作单位的全部资金为自有或合法筹集资金，来源合法合规，不存在任何争议及潜在纠纷，也不存在因资金来源问题可能导致的本公司签署投资协议存在任何争议的情形；</w:t>
      </w:r>
    </w:p>
    <w:p>
      <w:pPr>
        <w:ind w:firstLine="640"/>
        <w:rPr>
          <w:color w:val="auto"/>
          <w:highlight w:val="none"/>
        </w:rPr>
      </w:pPr>
      <w:r>
        <w:rPr>
          <w:rFonts w:hint="eastAsia"/>
          <w:color w:val="auto"/>
          <w:highlight w:val="none"/>
        </w:rPr>
        <w:t>（二）我单位了解长投新成公寓运营合作单位属于风险投资，对因参与本次投资而可能承担的风险有充分认识；</w:t>
      </w:r>
    </w:p>
    <w:p>
      <w:pPr>
        <w:ind w:firstLine="640"/>
        <w:rPr>
          <w:color w:val="auto"/>
          <w:highlight w:val="none"/>
        </w:rPr>
      </w:pPr>
      <w:r>
        <w:rPr>
          <w:rFonts w:hint="eastAsia"/>
          <w:color w:val="auto"/>
          <w:highlight w:val="none"/>
        </w:rPr>
        <w:t>（三）</w:t>
      </w:r>
      <w:r>
        <w:rPr>
          <w:color w:val="auto"/>
          <w:highlight w:val="none"/>
        </w:rPr>
        <w:t>我单位已充分了解并认可本次</w:t>
      </w:r>
      <w:r>
        <w:rPr>
          <w:rFonts w:hint="eastAsia"/>
          <w:color w:val="auto"/>
          <w:highlight w:val="none"/>
        </w:rPr>
        <w:t>合作单位</w:t>
      </w:r>
      <w:r>
        <w:rPr>
          <w:color w:val="auto"/>
          <w:highlight w:val="none"/>
        </w:rPr>
        <w:t>招募</w:t>
      </w:r>
      <w:r>
        <w:rPr>
          <w:rFonts w:hint="eastAsia"/>
          <w:color w:val="auto"/>
          <w:highlight w:val="none"/>
        </w:rPr>
        <w:t>遴选</w:t>
      </w:r>
      <w:r>
        <w:rPr>
          <w:color w:val="auto"/>
          <w:highlight w:val="none"/>
        </w:rPr>
        <w:t>的全部要求，已充分评估、知悉并自愿承担参与本次</w:t>
      </w:r>
      <w:r>
        <w:rPr>
          <w:rFonts w:hint="eastAsia"/>
          <w:color w:val="auto"/>
          <w:highlight w:val="none"/>
        </w:rPr>
        <w:t>合作单位</w:t>
      </w:r>
      <w:r>
        <w:rPr>
          <w:color w:val="auto"/>
          <w:highlight w:val="none"/>
        </w:rPr>
        <w:t>招募</w:t>
      </w:r>
      <w:r>
        <w:rPr>
          <w:rFonts w:hint="eastAsia"/>
          <w:color w:val="auto"/>
          <w:highlight w:val="none"/>
        </w:rPr>
        <w:t>遴选</w:t>
      </w:r>
      <w:r>
        <w:rPr>
          <w:color w:val="auto"/>
          <w:highlight w:val="none"/>
        </w:rPr>
        <w:t>的全部成本、风险、负担</w:t>
      </w:r>
      <w:r>
        <w:rPr>
          <w:rFonts w:hint="eastAsia"/>
          <w:color w:val="auto"/>
          <w:highlight w:val="none"/>
        </w:rPr>
        <w:t>。</w:t>
      </w:r>
    </w:p>
    <w:p>
      <w:pPr>
        <w:ind w:firstLine="640"/>
        <w:rPr>
          <w:color w:val="auto"/>
          <w:highlight w:val="none"/>
        </w:rPr>
      </w:pPr>
      <w:r>
        <w:rPr>
          <w:rFonts w:hint="eastAsia"/>
          <w:color w:val="auto"/>
          <w:highlight w:val="none"/>
        </w:rPr>
        <w:t>（四）</w:t>
      </w:r>
      <w:r>
        <w:rPr>
          <w:color w:val="auto"/>
          <w:highlight w:val="none"/>
        </w:rPr>
        <w:t>我</w:t>
      </w:r>
      <w:r>
        <w:rPr>
          <w:rFonts w:hint="eastAsia"/>
          <w:color w:val="auto"/>
          <w:highlight w:val="none"/>
        </w:rPr>
        <w:t>单位</w:t>
      </w:r>
      <w:r>
        <w:rPr>
          <w:color w:val="auto"/>
          <w:highlight w:val="none"/>
        </w:rPr>
        <w:t>郑重声明，</w:t>
      </w:r>
      <w:r>
        <w:rPr>
          <w:rFonts w:hint="eastAsia"/>
          <w:color w:val="auto"/>
          <w:highlight w:val="none"/>
        </w:rPr>
        <w:t>我单位</w:t>
      </w:r>
      <w:r>
        <w:rPr>
          <w:color w:val="auto"/>
          <w:highlight w:val="none"/>
        </w:rPr>
        <w:t>提交的</w:t>
      </w:r>
      <w:r>
        <w:rPr>
          <w:rFonts w:hint="eastAsia"/>
          <w:color w:val="auto"/>
          <w:highlight w:val="none"/>
        </w:rPr>
        <w:t>合作申请</w:t>
      </w:r>
      <w:r>
        <w:rPr>
          <w:color w:val="auto"/>
          <w:highlight w:val="none"/>
        </w:rPr>
        <w:t>文件所有内容真实、有效，不存在虚假、造假、隐瞒的行为。如有违反，愿承担一切责任。</w:t>
      </w:r>
    </w:p>
    <w:p>
      <w:pPr>
        <w:ind w:firstLine="640"/>
        <w:rPr>
          <w:color w:val="auto"/>
          <w:highlight w:val="none"/>
        </w:rPr>
      </w:pPr>
      <w:r>
        <w:rPr>
          <w:rFonts w:hint="eastAsia"/>
          <w:color w:val="auto"/>
          <w:highlight w:val="none"/>
        </w:rPr>
        <w:t>（五）我单位承诺：合作申请文件在截止时间后的90天内有效，在此期间被你方接受的合作申请文件对我方一直具有约束力。</w:t>
      </w:r>
    </w:p>
    <w:p>
      <w:pPr>
        <w:ind w:firstLine="640"/>
        <w:rPr>
          <w:color w:val="auto"/>
          <w:highlight w:val="none"/>
        </w:rPr>
      </w:pPr>
      <w:r>
        <w:rPr>
          <w:rFonts w:hint="eastAsia"/>
          <w:color w:val="auto"/>
          <w:highlight w:val="none"/>
        </w:rPr>
        <w:t>申请人（公章）：</w:t>
      </w:r>
    </w:p>
    <w:p>
      <w:pPr>
        <w:ind w:firstLine="640"/>
        <w:rPr>
          <w:color w:val="auto"/>
          <w:highlight w:val="none"/>
        </w:rPr>
      </w:pPr>
      <w:r>
        <w:rPr>
          <w:rFonts w:hint="eastAsia"/>
          <w:color w:val="auto"/>
          <w:highlight w:val="none"/>
        </w:rPr>
        <w:t>法定代表人或负责人（签字）：</w:t>
      </w:r>
    </w:p>
    <w:p>
      <w:pPr>
        <w:ind w:firstLine="640"/>
        <w:rPr>
          <w:color w:val="auto"/>
          <w:highlight w:val="none"/>
        </w:rPr>
      </w:pPr>
      <w:r>
        <w:rPr>
          <w:rFonts w:hint="eastAsia"/>
          <w:color w:val="auto"/>
          <w:highlight w:val="none"/>
        </w:rPr>
        <w:t>日期：</w:t>
      </w:r>
      <w:r>
        <w:rPr>
          <w:color w:val="auto"/>
          <w:highlight w:val="none"/>
        </w:rPr>
        <w:t>二〇二</w:t>
      </w:r>
      <w:r>
        <w:rPr>
          <w:rFonts w:hint="eastAsia"/>
          <w:color w:val="auto"/>
          <w:highlight w:val="none"/>
        </w:rPr>
        <w:t>三年    月    日</w:t>
      </w:r>
    </w:p>
    <w:p>
      <w:pPr>
        <w:ind w:firstLine="640"/>
        <w:rPr>
          <w:color w:val="auto"/>
          <w:highlight w:val="none"/>
        </w:rPr>
      </w:pPr>
      <w:r>
        <w:rPr>
          <w:color w:val="auto"/>
          <w:highlight w:val="none"/>
        </w:rPr>
        <w:br w:type="page"/>
      </w:r>
    </w:p>
    <w:p>
      <w:pPr>
        <w:ind w:firstLine="640"/>
        <w:rPr>
          <w:rFonts w:ascii="黑体" w:hAnsi="黑体" w:eastAsia="黑体" w:cs="黑体"/>
          <w:color w:val="auto"/>
          <w:highlight w:val="none"/>
        </w:rPr>
      </w:pPr>
      <w:r>
        <w:rPr>
          <w:rFonts w:hint="eastAsia" w:ascii="黑体" w:hAnsi="黑体" w:eastAsia="黑体" w:cs="黑体"/>
          <w:color w:val="auto"/>
          <w:highlight w:val="none"/>
        </w:rPr>
        <w:t>二、法定代表人身份证明</w:t>
      </w:r>
    </w:p>
    <w:p>
      <w:pPr>
        <w:ind w:firstLine="640"/>
        <w:rPr>
          <w:color w:val="auto"/>
          <w:highlight w:val="none"/>
        </w:rPr>
      </w:pPr>
      <w:r>
        <w:rPr>
          <w:rFonts w:hint="eastAsia"/>
          <w:color w:val="auto"/>
          <w:highlight w:val="none"/>
        </w:rPr>
        <w:t>申请人名称：</w:t>
      </w:r>
    </w:p>
    <w:p>
      <w:pPr>
        <w:ind w:firstLine="640"/>
        <w:rPr>
          <w:color w:val="auto"/>
          <w:highlight w:val="none"/>
        </w:rPr>
      </w:pPr>
      <w:r>
        <w:rPr>
          <w:rFonts w:hint="eastAsia"/>
          <w:color w:val="auto"/>
          <w:highlight w:val="none"/>
        </w:rPr>
        <w:t>注册号：</w:t>
      </w:r>
    </w:p>
    <w:p>
      <w:pPr>
        <w:ind w:firstLine="640"/>
        <w:rPr>
          <w:color w:val="auto"/>
          <w:highlight w:val="none"/>
        </w:rPr>
      </w:pPr>
      <w:r>
        <w:rPr>
          <w:rFonts w:hint="eastAsia"/>
          <w:color w:val="auto"/>
          <w:highlight w:val="none"/>
        </w:rPr>
        <w:t>注册地址：</w:t>
      </w:r>
    </w:p>
    <w:p>
      <w:pPr>
        <w:ind w:firstLine="640"/>
        <w:rPr>
          <w:color w:val="auto"/>
          <w:highlight w:val="none"/>
        </w:rPr>
      </w:pPr>
      <w:r>
        <w:rPr>
          <w:rFonts w:hint="eastAsia"/>
          <w:color w:val="auto"/>
          <w:highlight w:val="none"/>
        </w:rPr>
        <w:t>成立时间：</w:t>
      </w:r>
    </w:p>
    <w:p>
      <w:pPr>
        <w:ind w:firstLine="640"/>
        <w:rPr>
          <w:color w:val="auto"/>
          <w:highlight w:val="none"/>
        </w:rPr>
      </w:pPr>
      <w:r>
        <w:rPr>
          <w:rFonts w:hint="eastAsia"/>
          <w:color w:val="auto"/>
          <w:highlight w:val="none"/>
        </w:rPr>
        <w:t>经营期限：</w:t>
      </w:r>
    </w:p>
    <w:p>
      <w:pPr>
        <w:ind w:firstLine="640"/>
        <w:rPr>
          <w:color w:val="auto"/>
          <w:highlight w:val="none"/>
        </w:rPr>
      </w:pPr>
      <w:r>
        <w:rPr>
          <w:rFonts w:hint="eastAsia"/>
          <w:color w:val="auto"/>
          <w:highlight w:val="none"/>
        </w:rPr>
        <w:t xml:space="preserve">经营范围：主营：    ；兼营：     </w:t>
      </w:r>
    </w:p>
    <w:p>
      <w:pPr>
        <w:ind w:firstLine="640"/>
        <w:rPr>
          <w:color w:val="auto"/>
          <w:highlight w:val="none"/>
        </w:rPr>
      </w:pPr>
      <w:r>
        <w:rPr>
          <w:rFonts w:hint="eastAsia"/>
          <w:color w:val="auto"/>
          <w:highlight w:val="none"/>
        </w:rPr>
        <w:t xml:space="preserve">姓名：     性别：     年龄：  </w:t>
      </w:r>
      <w:r>
        <w:rPr>
          <w:color w:val="auto"/>
          <w:highlight w:val="none"/>
        </w:rPr>
        <w:t xml:space="preserve"> </w:t>
      </w:r>
      <w:r>
        <w:rPr>
          <w:rFonts w:hint="eastAsia"/>
          <w:color w:val="auto"/>
          <w:highlight w:val="none"/>
        </w:rPr>
        <w:t>系 （申请人名称）的法定代表人。</w:t>
      </w:r>
    </w:p>
    <w:p>
      <w:pPr>
        <w:ind w:firstLine="640"/>
        <w:rPr>
          <w:color w:val="auto"/>
          <w:highlight w:val="none"/>
        </w:rPr>
      </w:pPr>
      <w:r>
        <w:rPr>
          <w:rFonts w:hint="eastAsia"/>
          <w:color w:val="auto"/>
          <w:highlight w:val="none"/>
        </w:rPr>
        <w:t>特此证明。</w:t>
      </w:r>
    </w:p>
    <w:p>
      <w:pPr>
        <w:ind w:firstLine="640"/>
        <w:rPr>
          <w:color w:val="auto"/>
          <w:highlight w:val="none"/>
        </w:rPr>
      </w:pPr>
      <w:r>
        <w:rPr>
          <w:rFonts w:hint="eastAsia"/>
          <w:color w:val="auto"/>
          <w:highlight w:val="none"/>
        </w:rPr>
        <w:t>附：法定代表人身份证复印件</w:t>
      </w:r>
    </w:p>
    <w:p>
      <w:pPr>
        <w:ind w:firstLine="640"/>
        <w:rPr>
          <w:color w:val="auto"/>
          <w:highlight w:val="none"/>
        </w:rPr>
      </w:pPr>
    </w:p>
    <w:p>
      <w:pPr>
        <w:ind w:firstLine="640"/>
        <w:rPr>
          <w:color w:val="auto"/>
          <w:highlight w:val="none"/>
        </w:rPr>
      </w:pPr>
      <w:r>
        <w:rPr>
          <w:rFonts w:hint="eastAsia"/>
          <w:color w:val="auto"/>
          <w:highlight w:val="none"/>
        </w:rPr>
        <w:t>申请人名称（盖单位章）：</w:t>
      </w:r>
    </w:p>
    <w:p>
      <w:pPr>
        <w:ind w:firstLine="640"/>
        <w:rPr>
          <w:color w:val="auto"/>
          <w:highlight w:val="none"/>
        </w:rPr>
      </w:pPr>
      <w:r>
        <w:rPr>
          <w:rFonts w:hint="eastAsia"/>
          <w:color w:val="auto"/>
          <w:highlight w:val="none"/>
        </w:rPr>
        <w:t>日期：</w:t>
      </w:r>
      <w:r>
        <w:rPr>
          <w:color w:val="auto"/>
          <w:highlight w:val="none"/>
        </w:rPr>
        <w:t>二〇二</w:t>
      </w:r>
      <w:r>
        <w:rPr>
          <w:rFonts w:hint="eastAsia"/>
          <w:color w:val="auto"/>
          <w:highlight w:val="none"/>
        </w:rPr>
        <w:t>三年    月    日</w:t>
      </w:r>
    </w:p>
    <w:p>
      <w:pPr>
        <w:ind w:firstLine="640"/>
        <w:rPr>
          <w:color w:val="auto"/>
          <w:highlight w:val="none"/>
        </w:rPr>
      </w:pPr>
      <w:r>
        <w:rPr>
          <w:color w:val="auto"/>
          <w:highlight w:val="none"/>
        </w:rPr>
        <w:br w:type="page"/>
      </w:r>
    </w:p>
    <w:p>
      <w:pPr>
        <w:ind w:firstLine="640"/>
        <w:rPr>
          <w:rFonts w:ascii="黑体" w:hAnsi="黑体" w:eastAsia="黑体" w:cs="黑体"/>
          <w:color w:val="auto"/>
          <w:highlight w:val="none"/>
        </w:rPr>
      </w:pPr>
      <w:r>
        <w:rPr>
          <w:rFonts w:hint="eastAsia" w:ascii="黑体" w:hAnsi="黑体" w:eastAsia="黑体" w:cs="黑体"/>
          <w:color w:val="auto"/>
          <w:highlight w:val="none"/>
        </w:rPr>
        <w:t>三、授权委托书</w:t>
      </w:r>
    </w:p>
    <w:p>
      <w:pPr>
        <w:ind w:firstLine="640"/>
        <w:rPr>
          <w:color w:val="auto"/>
          <w:highlight w:val="none"/>
        </w:rPr>
      </w:pPr>
      <w:r>
        <w:rPr>
          <w:rFonts w:hint="eastAsia"/>
          <w:color w:val="auto"/>
          <w:highlight w:val="none"/>
        </w:rPr>
        <w:t>委托人：</w:t>
      </w:r>
    </w:p>
    <w:p>
      <w:pPr>
        <w:ind w:firstLine="640"/>
        <w:rPr>
          <w:color w:val="auto"/>
          <w:highlight w:val="none"/>
        </w:rPr>
      </w:pPr>
      <w:r>
        <w:rPr>
          <w:rFonts w:hint="eastAsia"/>
          <w:color w:val="auto"/>
          <w:highlight w:val="none"/>
        </w:rPr>
        <w:t>住所地：</w:t>
      </w:r>
    </w:p>
    <w:p>
      <w:pPr>
        <w:ind w:firstLine="640"/>
        <w:rPr>
          <w:color w:val="auto"/>
          <w:highlight w:val="none"/>
        </w:rPr>
      </w:pPr>
      <w:r>
        <w:rPr>
          <w:rFonts w:hint="eastAsia"/>
          <w:color w:val="auto"/>
          <w:highlight w:val="none"/>
        </w:rPr>
        <w:t>联系方式：</w:t>
      </w:r>
    </w:p>
    <w:p>
      <w:pPr>
        <w:ind w:firstLine="640"/>
        <w:rPr>
          <w:color w:val="auto"/>
          <w:highlight w:val="none"/>
        </w:rPr>
      </w:pPr>
      <w:r>
        <w:rPr>
          <w:rFonts w:hint="eastAsia"/>
          <w:color w:val="auto"/>
          <w:highlight w:val="none"/>
        </w:rPr>
        <w:t>受托人：</w:t>
      </w:r>
    </w:p>
    <w:p>
      <w:pPr>
        <w:ind w:firstLine="640"/>
        <w:rPr>
          <w:color w:val="auto"/>
          <w:highlight w:val="none"/>
        </w:rPr>
      </w:pPr>
      <w:r>
        <w:rPr>
          <w:rFonts w:hint="eastAsia"/>
          <w:color w:val="auto"/>
          <w:highlight w:val="none"/>
        </w:rPr>
        <w:t>身份证号：</w:t>
      </w:r>
    </w:p>
    <w:p>
      <w:pPr>
        <w:ind w:firstLine="640"/>
        <w:rPr>
          <w:color w:val="auto"/>
          <w:highlight w:val="none"/>
        </w:rPr>
      </w:pPr>
      <w:r>
        <w:rPr>
          <w:rFonts w:hint="eastAsia"/>
          <w:color w:val="auto"/>
          <w:highlight w:val="none"/>
        </w:rPr>
        <w:t>联系方式：</w:t>
      </w:r>
    </w:p>
    <w:p>
      <w:pPr>
        <w:ind w:firstLine="640"/>
        <w:rPr>
          <w:color w:val="auto"/>
          <w:highlight w:val="none"/>
        </w:rPr>
      </w:pPr>
      <w:r>
        <w:rPr>
          <w:rFonts w:hint="eastAsia"/>
          <w:color w:val="auto"/>
          <w:highlight w:val="none"/>
        </w:rPr>
        <w:t>委托人就长沙市土地开发建设有限责任公司招募遴选合作单位事项，特委托上述受托人作为委托人的代理人，受托人的代理权限为：</w:t>
      </w:r>
    </w:p>
    <w:p>
      <w:pPr>
        <w:ind w:firstLine="640"/>
        <w:rPr>
          <w:color w:val="auto"/>
          <w:highlight w:val="none"/>
        </w:rPr>
      </w:pPr>
      <w:r>
        <w:rPr>
          <w:rFonts w:hint="eastAsia"/>
          <w:color w:val="auto"/>
          <w:highlight w:val="none"/>
        </w:rPr>
        <w:t>1、提交报名材料，参加项目的谈判、磋商，代表委托人签署与本项目相关的任何文件（包括不限于协议、合同等）；</w:t>
      </w:r>
    </w:p>
    <w:p>
      <w:pPr>
        <w:ind w:firstLine="640"/>
        <w:rPr>
          <w:color w:val="auto"/>
          <w:highlight w:val="none"/>
        </w:rPr>
      </w:pPr>
      <w:r>
        <w:rPr>
          <w:rFonts w:hint="eastAsia"/>
          <w:color w:val="auto"/>
          <w:highlight w:val="none"/>
        </w:rPr>
        <w:t>2、接收与本项目的公告、通知等相关材料；</w:t>
      </w:r>
    </w:p>
    <w:p>
      <w:pPr>
        <w:ind w:firstLine="640"/>
        <w:rPr>
          <w:color w:val="auto"/>
          <w:highlight w:val="none"/>
        </w:rPr>
      </w:pPr>
      <w:r>
        <w:rPr>
          <w:rFonts w:hint="eastAsia"/>
          <w:color w:val="auto"/>
          <w:highlight w:val="none"/>
        </w:rPr>
        <w:t>3、处理与本投资项目相关的其他事务。</w:t>
      </w:r>
    </w:p>
    <w:p>
      <w:pPr>
        <w:ind w:firstLine="640"/>
        <w:rPr>
          <w:color w:val="auto"/>
          <w:highlight w:val="none"/>
        </w:rPr>
      </w:pPr>
      <w:r>
        <w:rPr>
          <w:rFonts w:hint="eastAsia"/>
          <w:color w:val="auto"/>
          <w:highlight w:val="none"/>
        </w:rPr>
        <w:t>受托人在上述代理权限范围内签署的一切文件或表达的相关意见，委托人均予以确认，并愿意承担由此产生的一切法律后果。</w:t>
      </w:r>
    </w:p>
    <w:p>
      <w:pPr>
        <w:ind w:firstLine="640"/>
        <w:rPr>
          <w:color w:val="auto"/>
          <w:highlight w:val="none"/>
        </w:rPr>
      </w:pPr>
      <w:r>
        <w:rPr>
          <w:rFonts w:hint="eastAsia"/>
          <w:color w:val="auto"/>
          <w:highlight w:val="none"/>
        </w:rPr>
        <w:t>附受托人身份证复印件（加盖委托人印章）</w:t>
      </w:r>
    </w:p>
    <w:p>
      <w:pPr>
        <w:ind w:firstLine="640"/>
        <w:rPr>
          <w:color w:val="auto"/>
          <w:highlight w:val="none"/>
        </w:rPr>
      </w:pPr>
    </w:p>
    <w:p>
      <w:pPr>
        <w:ind w:firstLine="640"/>
        <w:rPr>
          <w:color w:val="auto"/>
          <w:highlight w:val="none"/>
        </w:rPr>
      </w:pPr>
      <w:r>
        <w:rPr>
          <w:rFonts w:hint="eastAsia"/>
          <w:color w:val="auto"/>
          <w:highlight w:val="none"/>
        </w:rPr>
        <w:t>委托人（公章）：</w:t>
      </w:r>
    </w:p>
    <w:p>
      <w:pPr>
        <w:ind w:firstLine="640"/>
        <w:rPr>
          <w:color w:val="auto"/>
          <w:highlight w:val="none"/>
        </w:rPr>
      </w:pPr>
      <w:r>
        <w:rPr>
          <w:color w:val="auto"/>
          <w:highlight w:val="none"/>
        </w:rPr>
        <w:t>二〇二</w:t>
      </w:r>
      <w:r>
        <w:rPr>
          <w:rFonts w:hint="eastAsia"/>
          <w:color w:val="auto"/>
          <w:highlight w:val="none"/>
        </w:rPr>
        <w:t>三</w:t>
      </w:r>
      <w:r>
        <w:rPr>
          <w:color w:val="auto"/>
          <w:highlight w:val="none"/>
        </w:rPr>
        <w:t>年  月  日</w:t>
      </w:r>
    </w:p>
    <w:p>
      <w:pPr>
        <w:ind w:firstLine="640"/>
        <w:rPr>
          <w:color w:val="auto"/>
          <w:highlight w:val="none"/>
        </w:rPr>
      </w:pPr>
      <w:r>
        <w:rPr>
          <w:color w:val="auto"/>
          <w:highlight w:val="none"/>
        </w:rPr>
        <w:br w:type="page"/>
      </w:r>
    </w:p>
    <w:p>
      <w:pPr>
        <w:ind w:firstLine="640"/>
        <w:rPr>
          <w:rFonts w:ascii="黑体" w:hAnsi="黑体" w:eastAsia="黑体" w:cs="黑体"/>
          <w:color w:val="auto"/>
          <w:highlight w:val="none"/>
        </w:rPr>
      </w:pPr>
      <w:r>
        <w:rPr>
          <w:rFonts w:hint="eastAsia" w:ascii="黑体" w:hAnsi="黑体" w:eastAsia="黑体" w:cs="黑体"/>
          <w:color w:val="auto"/>
          <w:highlight w:val="none"/>
        </w:rPr>
        <w:t>四、信誉保证金</w:t>
      </w:r>
    </w:p>
    <w:p>
      <w:pPr>
        <w:ind w:firstLine="640"/>
        <w:rPr>
          <w:color w:val="auto"/>
          <w:highlight w:val="none"/>
        </w:rPr>
      </w:pPr>
      <w:r>
        <w:rPr>
          <w:rFonts w:hint="eastAsia"/>
          <w:color w:val="auto"/>
          <w:highlight w:val="none"/>
        </w:rPr>
        <w:t>（一）请附申请人基本账户开户许可证复印件（或基本帐户开户银行打印的账户信息，包含户名、账号、基本存款账户编号等信息）以及信誉保证金银行进账单复印件。</w:t>
      </w:r>
    </w:p>
    <w:p>
      <w:pPr>
        <w:ind w:firstLine="640"/>
        <w:rPr>
          <w:color w:val="auto"/>
          <w:highlight w:val="none"/>
        </w:rPr>
      </w:pPr>
      <w:r>
        <w:rPr>
          <w:rFonts w:hint="eastAsia"/>
          <w:color w:val="auto"/>
          <w:highlight w:val="none"/>
        </w:rPr>
        <w:t>（二）根据申请人递交的《保证金退还申请书》上的账户信息，以转账或电汇方式退还至申请人的原缴纳账户。</w:t>
      </w:r>
    </w:p>
    <w:p>
      <w:pPr>
        <w:spacing w:line="240" w:lineRule="auto"/>
        <w:ind w:firstLine="0" w:firstLineChars="0"/>
        <w:jc w:val="left"/>
        <w:rPr>
          <w:color w:val="auto"/>
          <w:highlight w:val="none"/>
        </w:rPr>
      </w:pPr>
      <w:r>
        <w:rPr>
          <w:rFonts w:hint="eastAsia"/>
          <w:color w:val="auto"/>
          <w:highlight w:val="none"/>
        </w:rPr>
        <w:br w:type="page"/>
      </w:r>
    </w:p>
    <w:p>
      <w:pPr>
        <w:ind w:firstLine="640"/>
        <w:jc w:val="center"/>
        <w:rPr>
          <w:rFonts w:ascii="黑体" w:hAnsi="黑体" w:eastAsia="黑体" w:cs="黑体"/>
          <w:color w:val="auto"/>
          <w:highlight w:val="none"/>
        </w:rPr>
      </w:pPr>
      <w:r>
        <w:rPr>
          <w:rFonts w:hint="eastAsia" w:ascii="黑体" w:hAnsi="黑体" w:eastAsia="黑体" w:cs="黑体"/>
          <w:color w:val="auto"/>
          <w:highlight w:val="none"/>
        </w:rPr>
        <w:t>保证金退还申请书</w:t>
      </w:r>
    </w:p>
    <w:p>
      <w:pPr>
        <w:spacing w:line="480" w:lineRule="exact"/>
        <w:ind w:firstLine="560"/>
        <w:jc w:val="center"/>
        <w:rPr>
          <w:rFonts w:ascii="宋体" w:hAnsi="宋体" w:cs="宋体"/>
          <w:b/>
          <w:bCs/>
          <w:color w:val="auto"/>
          <w:sz w:val="28"/>
          <w:szCs w:val="28"/>
          <w:highlight w:val="none"/>
        </w:rPr>
      </w:pPr>
    </w:p>
    <w:p>
      <w:pPr>
        <w:ind w:firstLine="0" w:firstLineChars="0"/>
        <w:rPr>
          <w:color w:val="auto"/>
          <w:highlight w:val="none"/>
        </w:rPr>
      </w:pPr>
      <w:r>
        <w:rPr>
          <w:rFonts w:hint="eastAsia"/>
          <w:color w:val="auto"/>
          <w:highlight w:val="none"/>
        </w:rPr>
        <w:t>致</w:t>
      </w:r>
      <w:r>
        <w:rPr>
          <w:rFonts w:hint="eastAsia"/>
          <w:color w:val="auto"/>
          <w:highlight w:val="none"/>
          <w:u w:val="single"/>
        </w:rPr>
        <w:t>长沙市招投标有限公司</w:t>
      </w:r>
      <w:r>
        <w:rPr>
          <w:rFonts w:hint="eastAsia"/>
          <w:color w:val="auto"/>
          <w:highlight w:val="none"/>
        </w:rPr>
        <w:t xml:space="preserve">： </w:t>
      </w:r>
    </w:p>
    <w:p>
      <w:pPr>
        <w:ind w:firstLine="640"/>
        <w:rPr>
          <w:color w:val="auto"/>
          <w:highlight w:val="none"/>
        </w:rPr>
      </w:pPr>
      <w:r>
        <w:rPr>
          <w:rFonts w:hint="eastAsia"/>
          <w:color w:val="auto"/>
          <w:highlight w:val="none"/>
        </w:rPr>
        <w:t>我系参加</w:t>
      </w:r>
      <w:r>
        <w:rPr>
          <w:rFonts w:hint="eastAsia"/>
          <w:color w:val="auto"/>
          <w:highlight w:val="none"/>
          <w:u w:val="single"/>
        </w:rPr>
        <w:t xml:space="preserve"> </w:t>
      </w:r>
      <w:r>
        <w:rPr>
          <w:rFonts w:hint="eastAsia"/>
          <w:color w:val="auto"/>
          <w:highlight w:val="none"/>
          <w:u w:val="single"/>
          <w:lang w:eastAsia="zh-CN"/>
        </w:rPr>
        <w:t>长沙市产业投资集团有限公司下属长沙市土地开发建设有限责任公司公开招募长投新成公寓运营合作单位</w:t>
      </w:r>
      <w:r>
        <w:rPr>
          <w:rFonts w:hint="eastAsia"/>
          <w:color w:val="auto"/>
          <w:highlight w:val="none"/>
          <w:u w:val="single"/>
        </w:rPr>
        <w:t>公开遴选</w:t>
      </w:r>
      <w:r>
        <w:rPr>
          <w:rFonts w:hint="eastAsia"/>
          <w:color w:val="auto"/>
          <w:highlight w:val="none"/>
        </w:rPr>
        <w:t>的申请人，现申请按该项目遴选文件规定，退返信誉保证金人民币贰拾万元（￥</w:t>
      </w:r>
      <w:r>
        <w:rPr>
          <w:rFonts w:hint="eastAsia"/>
          <w:color w:val="auto"/>
          <w:highlight w:val="none"/>
          <w:u w:val="single"/>
        </w:rPr>
        <w:t>200000.00元</w:t>
      </w:r>
      <w:r>
        <w:rPr>
          <w:rFonts w:hint="eastAsia"/>
          <w:color w:val="auto"/>
          <w:highlight w:val="none"/>
        </w:rPr>
        <w:t>），保证金请退还到以下原缴纳账户：</w:t>
      </w:r>
    </w:p>
    <w:p>
      <w:pPr>
        <w:ind w:firstLine="640"/>
        <w:rPr>
          <w:color w:val="auto"/>
          <w:highlight w:val="none"/>
        </w:rPr>
      </w:pPr>
      <w:r>
        <w:rPr>
          <w:rFonts w:hint="eastAsia"/>
          <w:color w:val="auto"/>
          <w:highlight w:val="none"/>
        </w:rPr>
        <w:t>户名：</w:t>
      </w:r>
      <w:r>
        <w:rPr>
          <w:rFonts w:hint="eastAsia"/>
          <w:color w:val="auto"/>
          <w:highlight w:val="none"/>
          <w:u w:val="single"/>
        </w:rPr>
        <w:t xml:space="preserve">                        </w:t>
      </w:r>
    </w:p>
    <w:p>
      <w:pPr>
        <w:ind w:firstLine="640"/>
        <w:rPr>
          <w:color w:val="auto"/>
          <w:highlight w:val="none"/>
        </w:rPr>
      </w:pPr>
      <w:r>
        <w:rPr>
          <w:rFonts w:hint="eastAsia"/>
          <w:color w:val="auto"/>
          <w:highlight w:val="none"/>
        </w:rPr>
        <w:t>账号：</w:t>
      </w:r>
      <w:r>
        <w:rPr>
          <w:rFonts w:hint="eastAsia"/>
          <w:color w:val="auto"/>
          <w:highlight w:val="none"/>
          <w:u w:val="single"/>
        </w:rPr>
        <w:t xml:space="preserve">                        </w:t>
      </w:r>
    </w:p>
    <w:p>
      <w:pPr>
        <w:ind w:firstLine="640"/>
        <w:rPr>
          <w:color w:val="auto"/>
          <w:highlight w:val="none"/>
        </w:rPr>
      </w:pPr>
      <w:r>
        <w:rPr>
          <w:rFonts w:hint="eastAsia"/>
          <w:color w:val="auto"/>
          <w:highlight w:val="none"/>
        </w:rPr>
        <w:t>开户行：</w:t>
      </w:r>
      <w:r>
        <w:rPr>
          <w:rFonts w:hint="eastAsia"/>
          <w:color w:val="auto"/>
          <w:highlight w:val="none"/>
          <w:u w:val="single"/>
        </w:rPr>
        <w:t xml:space="preserve">                      </w:t>
      </w:r>
    </w:p>
    <w:p>
      <w:pPr>
        <w:ind w:firstLine="640"/>
        <w:rPr>
          <w:color w:val="auto"/>
          <w:highlight w:val="none"/>
        </w:rPr>
      </w:pPr>
      <w:r>
        <w:rPr>
          <w:rFonts w:hint="eastAsia"/>
          <w:color w:val="auto"/>
          <w:highlight w:val="none"/>
        </w:rPr>
        <w:t>开户行地址：</w:t>
      </w:r>
      <w:r>
        <w:rPr>
          <w:rFonts w:hint="eastAsia"/>
          <w:color w:val="auto"/>
          <w:highlight w:val="none"/>
          <w:u w:val="single"/>
        </w:rPr>
        <w:t xml:space="preserve">          </w:t>
      </w:r>
      <w:r>
        <w:rPr>
          <w:rFonts w:hint="eastAsia"/>
          <w:color w:val="auto"/>
          <w:highlight w:val="none"/>
        </w:rPr>
        <w:t xml:space="preserve">省  </w:t>
      </w:r>
      <w:r>
        <w:rPr>
          <w:rFonts w:hint="eastAsia"/>
          <w:color w:val="auto"/>
          <w:highlight w:val="none"/>
          <w:u w:val="single"/>
        </w:rPr>
        <w:t xml:space="preserve">          </w:t>
      </w:r>
      <w:r>
        <w:rPr>
          <w:rFonts w:hint="eastAsia"/>
          <w:color w:val="auto"/>
          <w:highlight w:val="none"/>
        </w:rPr>
        <w:t>市</w:t>
      </w:r>
    </w:p>
    <w:p>
      <w:pPr>
        <w:ind w:firstLine="640"/>
        <w:rPr>
          <w:color w:val="auto"/>
          <w:highlight w:val="none"/>
        </w:rPr>
      </w:pPr>
      <w:r>
        <w:rPr>
          <w:rFonts w:hint="eastAsia"/>
          <w:color w:val="auto"/>
          <w:highlight w:val="none"/>
        </w:rPr>
        <w:t>如果提供的账户信息有误或因账户信息变更未及时通知，一切后果均由本单位自行负责。</w:t>
      </w:r>
    </w:p>
    <w:p>
      <w:pPr>
        <w:ind w:firstLine="640"/>
        <w:jc w:val="left"/>
        <w:rPr>
          <w:color w:val="auto"/>
          <w:highlight w:val="none"/>
        </w:rPr>
      </w:pPr>
    </w:p>
    <w:p>
      <w:pPr>
        <w:ind w:firstLine="640"/>
        <w:jc w:val="left"/>
        <w:rPr>
          <w:color w:val="auto"/>
          <w:highlight w:val="none"/>
        </w:rPr>
      </w:pPr>
      <w:r>
        <w:rPr>
          <w:rFonts w:hint="eastAsia"/>
          <w:color w:val="auto"/>
          <w:highlight w:val="none"/>
        </w:rPr>
        <w:t>申请人(盖单位章)：</w:t>
      </w:r>
    </w:p>
    <w:p>
      <w:pPr>
        <w:ind w:firstLine="640"/>
        <w:jc w:val="left"/>
        <w:rPr>
          <w:color w:val="auto"/>
          <w:highlight w:val="none"/>
        </w:rPr>
      </w:pPr>
      <w:r>
        <w:rPr>
          <w:rFonts w:hint="eastAsia"/>
          <w:color w:val="auto"/>
          <w:highlight w:val="none"/>
        </w:rPr>
        <w:t xml:space="preserve">联系人：                  </w:t>
      </w:r>
    </w:p>
    <w:p>
      <w:pPr>
        <w:ind w:firstLine="640"/>
        <w:jc w:val="left"/>
        <w:rPr>
          <w:color w:val="auto"/>
          <w:highlight w:val="none"/>
        </w:rPr>
      </w:pPr>
      <w:r>
        <w:rPr>
          <w:rFonts w:hint="eastAsia"/>
          <w:color w:val="auto"/>
          <w:highlight w:val="none"/>
        </w:rPr>
        <w:t xml:space="preserve">移动电话：               </w:t>
      </w:r>
    </w:p>
    <w:p>
      <w:pPr>
        <w:ind w:firstLine="640"/>
        <w:jc w:val="left"/>
        <w:rPr>
          <w:color w:val="auto"/>
          <w:highlight w:val="none"/>
        </w:rPr>
      </w:pPr>
      <w:r>
        <w:rPr>
          <w:rFonts w:hint="eastAsia"/>
          <w:color w:val="auto"/>
          <w:highlight w:val="none"/>
        </w:rPr>
        <w:t xml:space="preserve">固定电话：                </w:t>
      </w:r>
    </w:p>
    <w:p>
      <w:pPr>
        <w:ind w:firstLine="640"/>
        <w:jc w:val="left"/>
        <w:rPr>
          <w:color w:val="auto"/>
          <w:highlight w:val="none"/>
        </w:rPr>
      </w:pPr>
      <w:r>
        <w:rPr>
          <w:rFonts w:hint="eastAsia"/>
          <w:color w:val="auto"/>
          <w:highlight w:val="none"/>
        </w:rPr>
        <w:t>日期：      年    月   日</w:t>
      </w:r>
    </w:p>
    <w:p>
      <w:pPr>
        <w:ind w:firstLine="640"/>
        <w:rPr>
          <w:color w:val="auto"/>
          <w:highlight w:val="none"/>
        </w:rPr>
      </w:pPr>
      <w:r>
        <w:rPr>
          <w:rFonts w:hint="eastAsia"/>
          <w:color w:val="auto"/>
          <w:highlight w:val="none"/>
        </w:rPr>
        <w:t>说明：《保证金退还申请书》需单独递交，不得装订在申请文件中；可在办理保证金交割手续时提交，也可在提交首次申请文件截止时间后补交，未交《保证金退还申请书》的申请人，将影响其保证金的正常退还。</w:t>
      </w:r>
    </w:p>
    <w:p>
      <w:pPr>
        <w:ind w:firstLine="640"/>
        <w:rPr>
          <w:color w:val="auto"/>
          <w:highlight w:val="none"/>
        </w:rPr>
      </w:pPr>
      <w:r>
        <w:rPr>
          <w:rFonts w:hint="eastAsia"/>
          <w:color w:val="auto"/>
          <w:highlight w:val="none"/>
        </w:rPr>
        <w:br w:type="page"/>
      </w:r>
    </w:p>
    <w:p>
      <w:pPr>
        <w:ind w:firstLine="640"/>
        <w:rPr>
          <w:rFonts w:ascii="黑体" w:hAnsi="黑体" w:eastAsia="黑体" w:cs="黑体"/>
          <w:color w:val="auto"/>
          <w:highlight w:val="none"/>
        </w:rPr>
      </w:pPr>
      <w:r>
        <w:rPr>
          <w:rFonts w:hint="eastAsia" w:ascii="黑体" w:hAnsi="黑体" w:eastAsia="黑体" w:cs="黑体"/>
          <w:color w:val="auto"/>
          <w:highlight w:val="none"/>
        </w:rPr>
        <w:t>五、申请人基本情况</w:t>
      </w:r>
    </w:p>
    <w:p>
      <w:pPr>
        <w:ind w:firstLine="0" w:firstLineChars="0"/>
        <w:jc w:val="center"/>
        <w:rPr>
          <w:color w:val="auto"/>
          <w:highlight w:val="none"/>
        </w:rPr>
      </w:pPr>
      <w:r>
        <w:rPr>
          <w:color w:val="auto"/>
          <w:highlight w:val="none"/>
        </w:rPr>
        <w:t>企业情况表</w:t>
      </w:r>
    </w:p>
    <w:tbl>
      <w:tblPr>
        <w:tblStyle w:val="15"/>
        <w:tblW w:w="91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5"/>
        <w:gridCol w:w="2819"/>
        <w:gridCol w:w="2205"/>
        <w:gridCol w:w="1361"/>
        <w:gridCol w:w="20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755" w:type="dxa"/>
            <w:vAlign w:val="center"/>
          </w:tcPr>
          <w:p>
            <w:pPr>
              <w:pStyle w:val="20"/>
              <w:rPr>
                <w:color w:val="auto"/>
                <w:highlight w:val="none"/>
              </w:rPr>
            </w:pPr>
            <w:r>
              <w:rPr>
                <w:color w:val="auto"/>
                <w:highlight w:val="none"/>
              </w:rPr>
              <w:t>1</w:t>
            </w:r>
          </w:p>
        </w:tc>
        <w:tc>
          <w:tcPr>
            <w:tcW w:w="2819" w:type="dxa"/>
            <w:vAlign w:val="center"/>
          </w:tcPr>
          <w:p>
            <w:pPr>
              <w:pStyle w:val="20"/>
              <w:rPr>
                <w:color w:val="auto"/>
                <w:highlight w:val="none"/>
              </w:rPr>
            </w:pPr>
            <w:r>
              <w:rPr>
                <w:color w:val="auto"/>
                <w:highlight w:val="none"/>
              </w:rPr>
              <w:t>企业名称</w:t>
            </w:r>
          </w:p>
        </w:tc>
        <w:tc>
          <w:tcPr>
            <w:tcW w:w="5572" w:type="dxa"/>
            <w:gridSpan w:val="3"/>
            <w:vAlign w:val="center"/>
          </w:tcPr>
          <w:p>
            <w:pPr>
              <w:pStyle w:val="20"/>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755" w:type="dxa"/>
            <w:vAlign w:val="center"/>
          </w:tcPr>
          <w:p>
            <w:pPr>
              <w:pStyle w:val="20"/>
              <w:rPr>
                <w:color w:val="auto"/>
                <w:highlight w:val="none"/>
              </w:rPr>
            </w:pPr>
            <w:r>
              <w:rPr>
                <w:color w:val="auto"/>
                <w:highlight w:val="none"/>
              </w:rPr>
              <w:t>2</w:t>
            </w:r>
          </w:p>
        </w:tc>
        <w:tc>
          <w:tcPr>
            <w:tcW w:w="2819" w:type="dxa"/>
            <w:vAlign w:val="center"/>
          </w:tcPr>
          <w:p>
            <w:pPr>
              <w:pStyle w:val="20"/>
              <w:rPr>
                <w:color w:val="auto"/>
                <w:highlight w:val="none"/>
              </w:rPr>
            </w:pPr>
            <w:r>
              <w:rPr>
                <w:color w:val="auto"/>
                <w:highlight w:val="none"/>
              </w:rPr>
              <w:t>企业总部</w:t>
            </w:r>
          </w:p>
        </w:tc>
        <w:tc>
          <w:tcPr>
            <w:tcW w:w="5572" w:type="dxa"/>
            <w:gridSpan w:val="3"/>
            <w:vAlign w:val="center"/>
          </w:tcPr>
          <w:p>
            <w:pPr>
              <w:pStyle w:val="20"/>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jc w:val="center"/>
        </w:trPr>
        <w:tc>
          <w:tcPr>
            <w:tcW w:w="755" w:type="dxa"/>
            <w:vAlign w:val="center"/>
          </w:tcPr>
          <w:p>
            <w:pPr>
              <w:pStyle w:val="20"/>
              <w:rPr>
                <w:color w:val="auto"/>
                <w:highlight w:val="none"/>
              </w:rPr>
            </w:pPr>
            <w:r>
              <w:rPr>
                <w:color w:val="auto"/>
                <w:highlight w:val="none"/>
              </w:rPr>
              <w:t>3</w:t>
            </w:r>
          </w:p>
        </w:tc>
        <w:tc>
          <w:tcPr>
            <w:tcW w:w="2819" w:type="dxa"/>
            <w:vAlign w:val="center"/>
          </w:tcPr>
          <w:p>
            <w:pPr>
              <w:pStyle w:val="20"/>
              <w:rPr>
                <w:color w:val="auto"/>
                <w:highlight w:val="none"/>
              </w:rPr>
            </w:pPr>
            <w:r>
              <w:rPr>
                <w:color w:val="auto"/>
                <w:highlight w:val="none"/>
              </w:rPr>
              <w:t>办公地址</w:t>
            </w:r>
          </w:p>
        </w:tc>
        <w:tc>
          <w:tcPr>
            <w:tcW w:w="5572" w:type="dxa"/>
            <w:gridSpan w:val="3"/>
            <w:vAlign w:val="center"/>
          </w:tcPr>
          <w:p>
            <w:pPr>
              <w:pStyle w:val="20"/>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755" w:type="dxa"/>
            <w:vAlign w:val="center"/>
          </w:tcPr>
          <w:p>
            <w:pPr>
              <w:pStyle w:val="20"/>
              <w:rPr>
                <w:color w:val="auto"/>
                <w:highlight w:val="none"/>
              </w:rPr>
            </w:pPr>
            <w:r>
              <w:rPr>
                <w:color w:val="auto"/>
                <w:highlight w:val="none"/>
              </w:rPr>
              <w:t>4</w:t>
            </w:r>
          </w:p>
        </w:tc>
        <w:tc>
          <w:tcPr>
            <w:tcW w:w="2819" w:type="dxa"/>
            <w:vAlign w:val="center"/>
          </w:tcPr>
          <w:p>
            <w:pPr>
              <w:pStyle w:val="20"/>
              <w:rPr>
                <w:color w:val="auto"/>
                <w:highlight w:val="none"/>
              </w:rPr>
            </w:pPr>
            <w:r>
              <w:rPr>
                <w:color w:val="auto"/>
                <w:highlight w:val="none"/>
              </w:rPr>
              <w:t>联系人</w:t>
            </w:r>
          </w:p>
        </w:tc>
        <w:tc>
          <w:tcPr>
            <w:tcW w:w="2205" w:type="dxa"/>
            <w:vAlign w:val="center"/>
          </w:tcPr>
          <w:p>
            <w:pPr>
              <w:pStyle w:val="20"/>
              <w:rPr>
                <w:color w:val="auto"/>
                <w:highlight w:val="none"/>
              </w:rPr>
            </w:pPr>
          </w:p>
        </w:tc>
        <w:tc>
          <w:tcPr>
            <w:tcW w:w="1361" w:type="dxa"/>
            <w:vAlign w:val="center"/>
          </w:tcPr>
          <w:p>
            <w:pPr>
              <w:pStyle w:val="20"/>
              <w:rPr>
                <w:color w:val="auto"/>
                <w:highlight w:val="none"/>
              </w:rPr>
            </w:pPr>
            <w:r>
              <w:rPr>
                <w:color w:val="auto"/>
                <w:highlight w:val="none"/>
              </w:rPr>
              <w:t>电话</w:t>
            </w:r>
          </w:p>
        </w:tc>
        <w:tc>
          <w:tcPr>
            <w:tcW w:w="2006" w:type="dxa"/>
            <w:vAlign w:val="center"/>
          </w:tcPr>
          <w:p>
            <w:pPr>
              <w:pStyle w:val="20"/>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755" w:type="dxa"/>
            <w:vAlign w:val="center"/>
          </w:tcPr>
          <w:p>
            <w:pPr>
              <w:pStyle w:val="20"/>
              <w:rPr>
                <w:color w:val="auto"/>
                <w:highlight w:val="none"/>
              </w:rPr>
            </w:pPr>
            <w:r>
              <w:rPr>
                <w:color w:val="auto"/>
                <w:highlight w:val="none"/>
              </w:rPr>
              <w:t>5</w:t>
            </w:r>
          </w:p>
        </w:tc>
        <w:tc>
          <w:tcPr>
            <w:tcW w:w="2819" w:type="dxa"/>
            <w:vAlign w:val="center"/>
          </w:tcPr>
          <w:p>
            <w:pPr>
              <w:pStyle w:val="20"/>
              <w:rPr>
                <w:color w:val="auto"/>
                <w:highlight w:val="none"/>
              </w:rPr>
            </w:pPr>
            <w:r>
              <w:rPr>
                <w:color w:val="auto"/>
                <w:highlight w:val="none"/>
              </w:rPr>
              <w:t>电子邮箱</w:t>
            </w:r>
          </w:p>
        </w:tc>
        <w:tc>
          <w:tcPr>
            <w:tcW w:w="2205" w:type="dxa"/>
            <w:vAlign w:val="center"/>
          </w:tcPr>
          <w:p>
            <w:pPr>
              <w:pStyle w:val="20"/>
              <w:rPr>
                <w:color w:val="auto"/>
                <w:highlight w:val="none"/>
              </w:rPr>
            </w:pPr>
          </w:p>
        </w:tc>
        <w:tc>
          <w:tcPr>
            <w:tcW w:w="1361" w:type="dxa"/>
            <w:vAlign w:val="center"/>
          </w:tcPr>
          <w:p>
            <w:pPr>
              <w:pStyle w:val="20"/>
              <w:rPr>
                <w:color w:val="auto"/>
                <w:highlight w:val="none"/>
              </w:rPr>
            </w:pPr>
            <w:r>
              <w:rPr>
                <w:color w:val="auto"/>
                <w:highlight w:val="none"/>
              </w:rPr>
              <w:t>传真</w:t>
            </w:r>
          </w:p>
        </w:tc>
        <w:tc>
          <w:tcPr>
            <w:tcW w:w="2006" w:type="dxa"/>
            <w:vAlign w:val="center"/>
          </w:tcPr>
          <w:p>
            <w:pPr>
              <w:pStyle w:val="20"/>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755" w:type="dxa"/>
            <w:vAlign w:val="center"/>
          </w:tcPr>
          <w:p>
            <w:pPr>
              <w:pStyle w:val="20"/>
              <w:rPr>
                <w:color w:val="auto"/>
                <w:highlight w:val="none"/>
              </w:rPr>
            </w:pPr>
            <w:r>
              <w:rPr>
                <w:color w:val="auto"/>
                <w:highlight w:val="none"/>
              </w:rPr>
              <w:t>6</w:t>
            </w:r>
          </w:p>
        </w:tc>
        <w:tc>
          <w:tcPr>
            <w:tcW w:w="2819" w:type="dxa"/>
            <w:vAlign w:val="center"/>
          </w:tcPr>
          <w:p>
            <w:pPr>
              <w:pStyle w:val="20"/>
              <w:rPr>
                <w:color w:val="auto"/>
                <w:highlight w:val="none"/>
              </w:rPr>
            </w:pPr>
            <w:r>
              <w:rPr>
                <w:color w:val="auto"/>
                <w:highlight w:val="none"/>
              </w:rPr>
              <w:t>注册资金</w:t>
            </w:r>
          </w:p>
        </w:tc>
        <w:tc>
          <w:tcPr>
            <w:tcW w:w="2205" w:type="dxa"/>
            <w:vAlign w:val="center"/>
          </w:tcPr>
          <w:p>
            <w:pPr>
              <w:pStyle w:val="20"/>
              <w:rPr>
                <w:color w:val="auto"/>
                <w:highlight w:val="none"/>
              </w:rPr>
            </w:pPr>
          </w:p>
        </w:tc>
        <w:tc>
          <w:tcPr>
            <w:tcW w:w="1361" w:type="dxa"/>
            <w:vAlign w:val="center"/>
          </w:tcPr>
          <w:p>
            <w:pPr>
              <w:pStyle w:val="20"/>
              <w:rPr>
                <w:color w:val="auto"/>
                <w:highlight w:val="none"/>
              </w:rPr>
            </w:pPr>
            <w:r>
              <w:rPr>
                <w:color w:val="auto"/>
                <w:highlight w:val="none"/>
              </w:rPr>
              <w:t>注册年份</w:t>
            </w:r>
          </w:p>
        </w:tc>
        <w:tc>
          <w:tcPr>
            <w:tcW w:w="2006" w:type="dxa"/>
            <w:vAlign w:val="center"/>
          </w:tcPr>
          <w:p>
            <w:pPr>
              <w:pStyle w:val="20"/>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755" w:type="dxa"/>
            <w:vAlign w:val="center"/>
          </w:tcPr>
          <w:p>
            <w:pPr>
              <w:pStyle w:val="20"/>
              <w:rPr>
                <w:color w:val="auto"/>
                <w:highlight w:val="none"/>
              </w:rPr>
            </w:pPr>
            <w:r>
              <w:rPr>
                <w:rFonts w:hint="eastAsia"/>
                <w:color w:val="auto"/>
                <w:highlight w:val="none"/>
              </w:rPr>
              <w:t>7</w:t>
            </w:r>
          </w:p>
        </w:tc>
        <w:tc>
          <w:tcPr>
            <w:tcW w:w="2819" w:type="dxa"/>
            <w:vAlign w:val="center"/>
          </w:tcPr>
          <w:p>
            <w:pPr>
              <w:pStyle w:val="20"/>
              <w:rPr>
                <w:color w:val="auto"/>
                <w:highlight w:val="none"/>
              </w:rPr>
            </w:pPr>
            <w:r>
              <w:rPr>
                <w:color w:val="auto"/>
                <w:highlight w:val="none"/>
              </w:rPr>
              <w:t>企业性质</w:t>
            </w:r>
          </w:p>
        </w:tc>
        <w:tc>
          <w:tcPr>
            <w:tcW w:w="2205" w:type="dxa"/>
            <w:vAlign w:val="center"/>
          </w:tcPr>
          <w:p>
            <w:pPr>
              <w:pStyle w:val="20"/>
              <w:rPr>
                <w:color w:val="auto"/>
                <w:highlight w:val="none"/>
              </w:rPr>
            </w:pPr>
          </w:p>
        </w:tc>
        <w:tc>
          <w:tcPr>
            <w:tcW w:w="1361" w:type="dxa"/>
            <w:vAlign w:val="center"/>
          </w:tcPr>
          <w:p>
            <w:pPr>
              <w:pStyle w:val="20"/>
              <w:rPr>
                <w:color w:val="auto"/>
                <w:highlight w:val="none"/>
              </w:rPr>
            </w:pPr>
            <w:r>
              <w:rPr>
                <w:color w:val="auto"/>
                <w:highlight w:val="none"/>
              </w:rPr>
              <w:t>企业人数</w:t>
            </w:r>
          </w:p>
        </w:tc>
        <w:tc>
          <w:tcPr>
            <w:tcW w:w="2006" w:type="dxa"/>
            <w:vAlign w:val="center"/>
          </w:tcPr>
          <w:p>
            <w:pPr>
              <w:pStyle w:val="20"/>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9" w:hRule="atLeast"/>
          <w:jc w:val="center"/>
        </w:trPr>
        <w:tc>
          <w:tcPr>
            <w:tcW w:w="755" w:type="dxa"/>
            <w:vAlign w:val="center"/>
          </w:tcPr>
          <w:p>
            <w:pPr>
              <w:pStyle w:val="20"/>
              <w:rPr>
                <w:color w:val="auto"/>
                <w:highlight w:val="none"/>
              </w:rPr>
            </w:pPr>
            <w:r>
              <w:rPr>
                <w:rFonts w:hint="eastAsia"/>
                <w:color w:val="auto"/>
                <w:highlight w:val="none"/>
              </w:rPr>
              <w:t>8</w:t>
            </w:r>
          </w:p>
        </w:tc>
        <w:tc>
          <w:tcPr>
            <w:tcW w:w="2819" w:type="dxa"/>
            <w:vAlign w:val="center"/>
          </w:tcPr>
          <w:p>
            <w:pPr>
              <w:pStyle w:val="20"/>
              <w:rPr>
                <w:color w:val="auto"/>
                <w:highlight w:val="none"/>
              </w:rPr>
            </w:pPr>
            <w:r>
              <w:rPr>
                <w:color w:val="auto"/>
                <w:highlight w:val="none"/>
              </w:rPr>
              <w:t>近三年内单位是否存在失信情况（如有请进行说明）</w:t>
            </w:r>
          </w:p>
        </w:tc>
        <w:tc>
          <w:tcPr>
            <w:tcW w:w="5572" w:type="dxa"/>
            <w:gridSpan w:val="3"/>
            <w:vAlign w:val="center"/>
          </w:tcPr>
          <w:p>
            <w:pPr>
              <w:pStyle w:val="20"/>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jc w:val="center"/>
        </w:trPr>
        <w:tc>
          <w:tcPr>
            <w:tcW w:w="755" w:type="dxa"/>
            <w:vAlign w:val="center"/>
          </w:tcPr>
          <w:p>
            <w:pPr>
              <w:pStyle w:val="20"/>
              <w:rPr>
                <w:color w:val="auto"/>
                <w:highlight w:val="none"/>
              </w:rPr>
            </w:pPr>
            <w:r>
              <w:rPr>
                <w:rFonts w:hint="eastAsia"/>
                <w:color w:val="auto"/>
                <w:highlight w:val="none"/>
              </w:rPr>
              <w:t>9</w:t>
            </w:r>
          </w:p>
        </w:tc>
        <w:tc>
          <w:tcPr>
            <w:tcW w:w="2819" w:type="dxa"/>
            <w:vAlign w:val="center"/>
          </w:tcPr>
          <w:p>
            <w:pPr>
              <w:pStyle w:val="20"/>
              <w:rPr>
                <w:color w:val="auto"/>
                <w:highlight w:val="none"/>
              </w:rPr>
            </w:pPr>
            <w:r>
              <w:rPr>
                <w:color w:val="auto"/>
                <w:highlight w:val="none"/>
              </w:rPr>
              <w:t>目前是否存在法律纠纷（如有请说明）</w:t>
            </w:r>
          </w:p>
        </w:tc>
        <w:tc>
          <w:tcPr>
            <w:tcW w:w="5572" w:type="dxa"/>
            <w:gridSpan w:val="3"/>
            <w:vAlign w:val="center"/>
          </w:tcPr>
          <w:p>
            <w:pPr>
              <w:pStyle w:val="20"/>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jc w:val="center"/>
        </w:trPr>
        <w:tc>
          <w:tcPr>
            <w:tcW w:w="755" w:type="dxa"/>
            <w:vAlign w:val="center"/>
          </w:tcPr>
          <w:p>
            <w:pPr>
              <w:pStyle w:val="20"/>
              <w:rPr>
                <w:color w:val="auto"/>
                <w:highlight w:val="none"/>
              </w:rPr>
            </w:pPr>
            <w:r>
              <w:rPr>
                <w:rFonts w:hint="eastAsia"/>
                <w:color w:val="auto"/>
                <w:highlight w:val="none"/>
              </w:rPr>
              <w:t>10</w:t>
            </w:r>
          </w:p>
        </w:tc>
        <w:tc>
          <w:tcPr>
            <w:tcW w:w="2819" w:type="dxa"/>
            <w:vAlign w:val="center"/>
          </w:tcPr>
          <w:p>
            <w:pPr>
              <w:pStyle w:val="20"/>
              <w:rPr>
                <w:color w:val="auto"/>
                <w:highlight w:val="none"/>
              </w:rPr>
            </w:pPr>
            <w:r>
              <w:rPr>
                <w:rFonts w:hint="eastAsia"/>
                <w:color w:val="auto"/>
                <w:highlight w:val="none"/>
              </w:rPr>
              <w:t>企业经营范围</w:t>
            </w:r>
          </w:p>
        </w:tc>
        <w:tc>
          <w:tcPr>
            <w:tcW w:w="5572" w:type="dxa"/>
            <w:gridSpan w:val="3"/>
            <w:vAlign w:val="center"/>
          </w:tcPr>
          <w:p>
            <w:pPr>
              <w:pStyle w:val="20"/>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jc w:val="center"/>
        </w:trPr>
        <w:tc>
          <w:tcPr>
            <w:tcW w:w="755" w:type="dxa"/>
            <w:vAlign w:val="center"/>
          </w:tcPr>
          <w:p>
            <w:pPr>
              <w:pStyle w:val="20"/>
              <w:rPr>
                <w:color w:val="auto"/>
                <w:highlight w:val="none"/>
              </w:rPr>
            </w:pPr>
            <w:r>
              <w:rPr>
                <w:rFonts w:hint="eastAsia"/>
                <w:color w:val="auto"/>
                <w:highlight w:val="none"/>
              </w:rPr>
              <w:t>11</w:t>
            </w:r>
          </w:p>
        </w:tc>
        <w:tc>
          <w:tcPr>
            <w:tcW w:w="8391" w:type="dxa"/>
            <w:gridSpan w:val="4"/>
            <w:vAlign w:val="center"/>
          </w:tcPr>
          <w:p>
            <w:pPr>
              <w:pStyle w:val="20"/>
              <w:rPr>
                <w:color w:val="auto"/>
                <w:highlight w:val="none"/>
              </w:rPr>
            </w:pPr>
            <w:r>
              <w:rPr>
                <w:color w:val="auto"/>
                <w:highlight w:val="none"/>
              </w:rPr>
              <w:t>公司股东清单（股份比例大于 10%的股东）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jc w:val="center"/>
        </w:trPr>
        <w:tc>
          <w:tcPr>
            <w:tcW w:w="3574" w:type="dxa"/>
            <w:gridSpan w:val="2"/>
            <w:vAlign w:val="center"/>
          </w:tcPr>
          <w:p>
            <w:pPr>
              <w:pStyle w:val="20"/>
              <w:rPr>
                <w:color w:val="auto"/>
                <w:highlight w:val="none"/>
              </w:rPr>
            </w:pPr>
            <w:r>
              <w:rPr>
                <w:rFonts w:hint="eastAsia"/>
                <w:color w:val="auto"/>
                <w:highlight w:val="none"/>
              </w:rPr>
              <w:t>股东名称</w:t>
            </w:r>
          </w:p>
        </w:tc>
        <w:tc>
          <w:tcPr>
            <w:tcW w:w="5572" w:type="dxa"/>
            <w:gridSpan w:val="3"/>
            <w:vAlign w:val="center"/>
          </w:tcPr>
          <w:p>
            <w:pPr>
              <w:pStyle w:val="20"/>
              <w:rPr>
                <w:color w:val="auto"/>
                <w:highlight w:val="none"/>
              </w:rPr>
            </w:pPr>
            <w:r>
              <w:rPr>
                <w:rFonts w:hint="eastAsia"/>
                <w:color w:val="auto"/>
                <w:highlight w:val="none"/>
              </w:rPr>
              <w:t>股份比例（%）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jc w:val="center"/>
        </w:trPr>
        <w:tc>
          <w:tcPr>
            <w:tcW w:w="3574" w:type="dxa"/>
            <w:gridSpan w:val="2"/>
            <w:vAlign w:val="center"/>
          </w:tcPr>
          <w:p>
            <w:pPr>
              <w:pStyle w:val="20"/>
              <w:rPr>
                <w:color w:val="auto"/>
                <w:highlight w:val="none"/>
              </w:rPr>
            </w:pPr>
          </w:p>
        </w:tc>
        <w:tc>
          <w:tcPr>
            <w:tcW w:w="5572" w:type="dxa"/>
            <w:gridSpan w:val="3"/>
            <w:vAlign w:val="center"/>
          </w:tcPr>
          <w:p>
            <w:pPr>
              <w:pStyle w:val="20"/>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jc w:val="center"/>
        </w:trPr>
        <w:tc>
          <w:tcPr>
            <w:tcW w:w="3574" w:type="dxa"/>
            <w:gridSpan w:val="2"/>
            <w:vAlign w:val="center"/>
          </w:tcPr>
          <w:p>
            <w:pPr>
              <w:pStyle w:val="20"/>
              <w:rPr>
                <w:color w:val="auto"/>
                <w:highlight w:val="none"/>
              </w:rPr>
            </w:pPr>
          </w:p>
        </w:tc>
        <w:tc>
          <w:tcPr>
            <w:tcW w:w="5572" w:type="dxa"/>
            <w:gridSpan w:val="3"/>
            <w:vAlign w:val="center"/>
          </w:tcPr>
          <w:p>
            <w:pPr>
              <w:pStyle w:val="20"/>
              <w:rPr>
                <w:color w:val="auto"/>
                <w:highlight w:val="none"/>
              </w:rPr>
            </w:pPr>
          </w:p>
        </w:tc>
      </w:tr>
    </w:tbl>
    <w:p>
      <w:pPr>
        <w:ind w:firstLine="640"/>
        <w:rPr>
          <w:color w:val="auto"/>
          <w:highlight w:val="none"/>
        </w:rPr>
      </w:pPr>
      <w:r>
        <w:rPr>
          <w:color w:val="auto"/>
          <w:highlight w:val="none"/>
        </w:rPr>
        <w:br w:type="page"/>
      </w:r>
    </w:p>
    <w:p>
      <w:pPr>
        <w:ind w:firstLine="640"/>
        <w:rPr>
          <w:rFonts w:ascii="黑体" w:hAnsi="黑体" w:eastAsia="黑体" w:cs="黑体"/>
          <w:color w:val="auto"/>
          <w:highlight w:val="none"/>
        </w:rPr>
      </w:pPr>
      <w:r>
        <w:rPr>
          <w:rFonts w:hint="eastAsia" w:ascii="黑体" w:hAnsi="黑体" w:eastAsia="黑体" w:cs="黑体"/>
          <w:color w:val="auto"/>
          <w:highlight w:val="none"/>
        </w:rPr>
        <w:t>六、申请人财务状况</w:t>
      </w:r>
    </w:p>
    <w:p>
      <w:pPr>
        <w:ind w:firstLine="640"/>
        <w:rPr>
          <w:rFonts w:ascii="楷体" w:hAnsi="楷体" w:eastAsia="楷体" w:cs="楷体"/>
          <w:color w:val="auto"/>
          <w:highlight w:val="none"/>
        </w:rPr>
      </w:pPr>
      <w:r>
        <w:rPr>
          <w:rFonts w:hint="eastAsia" w:ascii="楷体" w:hAnsi="楷体" w:eastAsia="楷体" w:cs="楷体"/>
          <w:color w:val="auto"/>
          <w:highlight w:val="none"/>
        </w:rPr>
        <w:t>（一）财务状况表</w:t>
      </w:r>
    </w:p>
    <w:tbl>
      <w:tblPr>
        <w:tblStyle w:val="15"/>
        <w:tblW w:w="925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301"/>
        <w:gridCol w:w="2410"/>
        <w:gridCol w:w="2342"/>
        <w:gridCol w:w="22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0" w:hRule="atLeast"/>
          <w:jc w:val="center"/>
        </w:trPr>
        <w:tc>
          <w:tcPr>
            <w:tcW w:w="2301" w:type="dxa"/>
            <w:tcBorders>
              <w:top w:val="single" w:color="000000" w:sz="4" w:space="0"/>
              <w:left w:val="single" w:color="000000" w:sz="4" w:space="0"/>
              <w:bottom w:val="single" w:color="000000" w:sz="4" w:space="0"/>
              <w:right w:val="single" w:color="000000" w:sz="4" w:space="0"/>
            </w:tcBorders>
            <w:vAlign w:val="center"/>
          </w:tcPr>
          <w:p>
            <w:pPr>
              <w:pStyle w:val="20"/>
              <w:rPr>
                <w:rFonts w:eastAsia="宋体"/>
                <w:color w:val="auto"/>
                <w:highlight w:val="none"/>
              </w:rPr>
            </w:pPr>
            <w:r>
              <w:rPr>
                <w:rFonts w:hint="eastAsia"/>
                <w:color w:val="auto"/>
                <w:highlight w:val="none"/>
              </w:rPr>
              <w:t>年度</w:t>
            </w:r>
          </w:p>
        </w:tc>
        <w:tc>
          <w:tcPr>
            <w:tcW w:w="2410" w:type="dxa"/>
            <w:tcBorders>
              <w:top w:val="single" w:color="000000" w:sz="4" w:space="0"/>
              <w:left w:val="single" w:color="000000" w:sz="4" w:space="0"/>
              <w:bottom w:val="single" w:color="000000" w:sz="4" w:space="0"/>
              <w:right w:val="single" w:color="000000" w:sz="4" w:space="0"/>
            </w:tcBorders>
            <w:vAlign w:val="center"/>
          </w:tcPr>
          <w:p>
            <w:pPr>
              <w:pStyle w:val="20"/>
              <w:rPr>
                <w:rFonts w:eastAsia="宋体"/>
                <w:color w:val="auto"/>
                <w:highlight w:val="none"/>
              </w:rPr>
            </w:pPr>
            <w:r>
              <w:rPr>
                <w:rFonts w:hint="eastAsia"/>
                <w:color w:val="auto"/>
                <w:highlight w:val="none"/>
              </w:rPr>
              <w:t>2021年</w:t>
            </w:r>
          </w:p>
        </w:tc>
        <w:tc>
          <w:tcPr>
            <w:tcW w:w="2342" w:type="dxa"/>
            <w:tcBorders>
              <w:top w:val="single" w:color="000000" w:sz="4" w:space="0"/>
              <w:left w:val="single" w:color="000000" w:sz="4" w:space="0"/>
              <w:bottom w:val="single" w:color="000000" w:sz="4" w:space="0"/>
              <w:right w:val="single" w:color="000000" w:sz="4" w:space="0"/>
            </w:tcBorders>
            <w:vAlign w:val="center"/>
          </w:tcPr>
          <w:p>
            <w:pPr>
              <w:pStyle w:val="20"/>
              <w:rPr>
                <w:rFonts w:eastAsia="宋体"/>
                <w:color w:val="auto"/>
                <w:highlight w:val="none"/>
              </w:rPr>
            </w:pPr>
            <w:r>
              <w:rPr>
                <w:rFonts w:hint="eastAsia"/>
                <w:color w:val="auto"/>
                <w:highlight w:val="none"/>
              </w:rPr>
              <w:t>2020年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0"/>
              <w:rPr>
                <w:rFonts w:eastAsia="宋体"/>
                <w:color w:val="auto"/>
                <w:highlight w:val="none"/>
              </w:rPr>
            </w:pPr>
            <w:r>
              <w:rPr>
                <w:rFonts w:hint="eastAsia"/>
                <w:color w:val="auto"/>
                <w:highlight w:val="none"/>
              </w:rPr>
              <w:t>2019年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0" w:hRule="atLeast"/>
          <w:jc w:val="center"/>
        </w:trPr>
        <w:tc>
          <w:tcPr>
            <w:tcW w:w="2301" w:type="dxa"/>
            <w:tcBorders>
              <w:top w:val="single" w:color="000000" w:sz="4" w:space="0"/>
              <w:left w:val="single" w:color="000000" w:sz="4" w:space="0"/>
              <w:bottom w:val="single" w:color="000000" w:sz="4" w:space="0"/>
              <w:right w:val="single" w:color="000000" w:sz="4" w:space="0"/>
            </w:tcBorders>
            <w:vAlign w:val="center"/>
          </w:tcPr>
          <w:p>
            <w:pPr>
              <w:pStyle w:val="20"/>
              <w:rPr>
                <w:color w:val="auto"/>
                <w:highlight w:val="none"/>
              </w:rPr>
            </w:pPr>
            <w:r>
              <w:rPr>
                <w:rFonts w:hint="eastAsia"/>
                <w:color w:val="auto"/>
                <w:highlight w:val="none"/>
              </w:rPr>
              <w:t>营业收入</w:t>
            </w:r>
          </w:p>
        </w:tc>
        <w:tc>
          <w:tcPr>
            <w:tcW w:w="2410" w:type="dxa"/>
            <w:tcBorders>
              <w:top w:val="single" w:color="000000" w:sz="4" w:space="0"/>
              <w:left w:val="single" w:color="000000" w:sz="4" w:space="0"/>
              <w:bottom w:val="single" w:color="000000" w:sz="4" w:space="0"/>
              <w:right w:val="single" w:color="000000" w:sz="4" w:space="0"/>
            </w:tcBorders>
            <w:vAlign w:val="center"/>
          </w:tcPr>
          <w:p>
            <w:pPr>
              <w:pStyle w:val="20"/>
              <w:rPr>
                <w:color w:val="auto"/>
                <w:highlight w:val="none"/>
              </w:rPr>
            </w:pPr>
          </w:p>
        </w:tc>
        <w:tc>
          <w:tcPr>
            <w:tcW w:w="2342" w:type="dxa"/>
            <w:tcBorders>
              <w:top w:val="single" w:color="000000" w:sz="4" w:space="0"/>
              <w:left w:val="single" w:color="000000" w:sz="4" w:space="0"/>
              <w:bottom w:val="single" w:color="000000" w:sz="4" w:space="0"/>
              <w:right w:val="single" w:color="000000" w:sz="4" w:space="0"/>
            </w:tcBorders>
            <w:vAlign w:val="center"/>
          </w:tcPr>
          <w:p>
            <w:pPr>
              <w:pStyle w:val="20"/>
              <w:rPr>
                <w:color w:val="auto"/>
                <w:highlight w:val="none"/>
              </w:rPr>
            </w:pP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0"/>
              <w:rPr>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0" w:hRule="atLeast"/>
          <w:jc w:val="center"/>
        </w:trPr>
        <w:tc>
          <w:tcPr>
            <w:tcW w:w="2301" w:type="dxa"/>
            <w:tcBorders>
              <w:top w:val="single" w:color="000000" w:sz="4" w:space="0"/>
              <w:left w:val="single" w:color="000000" w:sz="4" w:space="0"/>
              <w:bottom w:val="single" w:color="000000" w:sz="4" w:space="0"/>
              <w:right w:val="single" w:color="000000" w:sz="4" w:space="0"/>
            </w:tcBorders>
            <w:vAlign w:val="center"/>
          </w:tcPr>
          <w:p>
            <w:pPr>
              <w:pStyle w:val="20"/>
              <w:rPr>
                <w:rFonts w:ascii="宋体" w:hAnsi="宋体" w:eastAsia="宋体"/>
                <w:color w:val="auto"/>
                <w:sz w:val="24"/>
                <w:highlight w:val="none"/>
              </w:rPr>
            </w:pPr>
            <w:r>
              <w:rPr>
                <w:rFonts w:hint="eastAsia"/>
                <w:color w:val="auto"/>
                <w:highlight w:val="none"/>
              </w:rPr>
              <w:t>资产总额</w:t>
            </w:r>
          </w:p>
        </w:tc>
        <w:tc>
          <w:tcPr>
            <w:tcW w:w="2410" w:type="dxa"/>
            <w:tcBorders>
              <w:top w:val="single" w:color="000000" w:sz="4" w:space="0"/>
              <w:left w:val="single" w:color="000000" w:sz="4" w:space="0"/>
              <w:bottom w:val="single" w:color="000000" w:sz="4" w:space="0"/>
              <w:right w:val="single" w:color="000000" w:sz="4" w:space="0"/>
            </w:tcBorders>
            <w:vAlign w:val="center"/>
          </w:tcPr>
          <w:p>
            <w:pPr>
              <w:pStyle w:val="20"/>
              <w:rPr>
                <w:color w:val="auto"/>
                <w:highlight w:val="none"/>
              </w:rPr>
            </w:pPr>
          </w:p>
        </w:tc>
        <w:tc>
          <w:tcPr>
            <w:tcW w:w="2342" w:type="dxa"/>
            <w:tcBorders>
              <w:top w:val="single" w:color="000000" w:sz="4" w:space="0"/>
              <w:left w:val="single" w:color="000000" w:sz="4" w:space="0"/>
              <w:bottom w:val="single" w:color="000000" w:sz="4" w:space="0"/>
              <w:right w:val="single" w:color="000000" w:sz="4" w:space="0"/>
            </w:tcBorders>
            <w:vAlign w:val="center"/>
          </w:tcPr>
          <w:p>
            <w:pPr>
              <w:pStyle w:val="20"/>
              <w:rPr>
                <w:color w:val="auto"/>
                <w:highlight w:val="none"/>
              </w:rPr>
            </w:pP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0"/>
              <w:rPr>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0" w:hRule="atLeast"/>
          <w:jc w:val="center"/>
        </w:trPr>
        <w:tc>
          <w:tcPr>
            <w:tcW w:w="2301" w:type="dxa"/>
            <w:tcBorders>
              <w:top w:val="single" w:color="000000" w:sz="4" w:space="0"/>
              <w:left w:val="single" w:color="000000" w:sz="4" w:space="0"/>
              <w:bottom w:val="single" w:color="000000" w:sz="4" w:space="0"/>
              <w:right w:val="single" w:color="000000" w:sz="4" w:space="0"/>
            </w:tcBorders>
            <w:vAlign w:val="center"/>
          </w:tcPr>
          <w:p>
            <w:pPr>
              <w:pStyle w:val="20"/>
              <w:rPr>
                <w:rFonts w:ascii="宋体" w:hAnsi="宋体" w:eastAsia="宋体"/>
                <w:color w:val="auto"/>
                <w:sz w:val="24"/>
                <w:highlight w:val="none"/>
              </w:rPr>
            </w:pPr>
            <w:r>
              <w:rPr>
                <w:rFonts w:hint="eastAsia"/>
                <w:color w:val="auto"/>
                <w:highlight w:val="none"/>
              </w:rPr>
              <w:t>负债总额</w:t>
            </w:r>
          </w:p>
        </w:tc>
        <w:tc>
          <w:tcPr>
            <w:tcW w:w="2410" w:type="dxa"/>
            <w:tcBorders>
              <w:top w:val="single" w:color="000000" w:sz="4" w:space="0"/>
              <w:left w:val="single" w:color="000000" w:sz="4" w:space="0"/>
              <w:bottom w:val="single" w:color="000000" w:sz="4" w:space="0"/>
              <w:right w:val="single" w:color="000000" w:sz="4" w:space="0"/>
            </w:tcBorders>
            <w:vAlign w:val="center"/>
          </w:tcPr>
          <w:p>
            <w:pPr>
              <w:pStyle w:val="20"/>
              <w:rPr>
                <w:color w:val="auto"/>
                <w:highlight w:val="none"/>
              </w:rPr>
            </w:pPr>
          </w:p>
        </w:tc>
        <w:tc>
          <w:tcPr>
            <w:tcW w:w="2342" w:type="dxa"/>
            <w:tcBorders>
              <w:top w:val="single" w:color="000000" w:sz="4" w:space="0"/>
              <w:left w:val="single" w:color="000000" w:sz="4" w:space="0"/>
              <w:bottom w:val="single" w:color="000000" w:sz="4" w:space="0"/>
              <w:right w:val="single" w:color="000000" w:sz="4" w:space="0"/>
            </w:tcBorders>
            <w:vAlign w:val="center"/>
          </w:tcPr>
          <w:p>
            <w:pPr>
              <w:pStyle w:val="20"/>
              <w:rPr>
                <w:color w:val="auto"/>
                <w:highlight w:val="none"/>
              </w:rPr>
            </w:pP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0"/>
              <w:rPr>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0" w:hRule="atLeast"/>
          <w:jc w:val="center"/>
        </w:trPr>
        <w:tc>
          <w:tcPr>
            <w:tcW w:w="2301" w:type="dxa"/>
            <w:tcBorders>
              <w:top w:val="single" w:color="000000" w:sz="4" w:space="0"/>
              <w:left w:val="single" w:color="000000" w:sz="4" w:space="0"/>
              <w:bottom w:val="single" w:color="000000" w:sz="4" w:space="0"/>
              <w:right w:val="single" w:color="000000" w:sz="4" w:space="0"/>
            </w:tcBorders>
            <w:vAlign w:val="center"/>
          </w:tcPr>
          <w:p>
            <w:pPr>
              <w:pStyle w:val="20"/>
              <w:rPr>
                <w:color w:val="auto"/>
                <w:highlight w:val="none"/>
              </w:rPr>
            </w:pPr>
            <w:r>
              <w:rPr>
                <w:rFonts w:hint="eastAsia"/>
                <w:color w:val="auto"/>
                <w:highlight w:val="none"/>
              </w:rPr>
              <w:t>资产负债率</w:t>
            </w:r>
          </w:p>
        </w:tc>
        <w:tc>
          <w:tcPr>
            <w:tcW w:w="2410" w:type="dxa"/>
            <w:tcBorders>
              <w:top w:val="single" w:color="000000" w:sz="4" w:space="0"/>
              <w:left w:val="single" w:color="000000" w:sz="4" w:space="0"/>
              <w:bottom w:val="single" w:color="000000" w:sz="4" w:space="0"/>
              <w:right w:val="single" w:color="000000" w:sz="4" w:space="0"/>
            </w:tcBorders>
            <w:vAlign w:val="center"/>
          </w:tcPr>
          <w:p>
            <w:pPr>
              <w:pStyle w:val="20"/>
              <w:rPr>
                <w:color w:val="auto"/>
                <w:highlight w:val="none"/>
              </w:rPr>
            </w:pPr>
          </w:p>
        </w:tc>
        <w:tc>
          <w:tcPr>
            <w:tcW w:w="2342" w:type="dxa"/>
            <w:tcBorders>
              <w:top w:val="single" w:color="000000" w:sz="4" w:space="0"/>
              <w:left w:val="single" w:color="000000" w:sz="4" w:space="0"/>
              <w:bottom w:val="single" w:color="000000" w:sz="4" w:space="0"/>
              <w:right w:val="single" w:color="000000" w:sz="4" w:space="0"/>
            </w:tcBorders>
            <w:vAlign w:val="center"/>
          </w:tcPr>
          <w:p>
            <w:pPr>
              <w:pStyle w:val="20"/>
              <w:rPr>
                <w:color w:val="auto"/>
                <w:highlight w:val="none"/>
              </w:rPr>
            </w:pP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0"/>
              <w:rPr>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0" w:hRule="atLeast"/>
          <w:jc w:val="center"/>
        </w:trPr>
        <w:tc>
          <w:tcPr>
            <w:tcW w:w="2301" w:type="dxa"/>
            <w:tcBorders>
              <w:top w:val="single" w:color="000000" w:sz="4" w:space="0"/>
              <w:left w:val="single" w:color="000000" w:sz="4" w:space="0"/>
              <w:bottom w:val="single" w:color="000000" w:sz="4" w:space="0"/>
              <w:right w:val="single" w:color="000000" w:sz="4" w:space="0"/>
            </w:tcBorders>
            <w:vAlign w:val="center"/>
          </w:tcPr>
          <w:p>
            <w:pPr>
              <w:pStyle w:val="20"/>
              <w:rPr>
                <w:rFonts w:eastAsia="宋体"/>
                <w:color w:val="auto"/>
                <w:highlight w:val="none"/>
              </w:rPr>
            </w:pPr>
            <w:r>
              <w:rPr>
                <w:rFonts w:hint="eastAsia"/>
                <w:color w:val="auto"/>
                <w:highlight w:val="none"/>
              </w:rPr>
              <w:t>净资产总额</w:t>
            </w:r>
          </w:p>
        </w:tc>
        <w:tc>
          <w:tcPr>
            <w:tcW w:w="2410" w:type="dxa"/>
            <w:tcBorders>
              <w:top w:val="single" w:color="000000" w:sz="4" w:space="0"/>
              <w:left w:val="single" w:color="000000" w:sz="4" w:space="0"/>
              <w:bottom w:val="single" w:color="000000" w:sz="4" w:space="0"/>
              <w:right w:val="single" w:color="000000" w:sz="4" w:space="0"/>
            </w:tcBorders>
            <w:vAlign w:val="center"/>
          </w:tcPr>
          <w:p>
            <w:pPr>
              <w:pStyle w:val="20"/>
              <w:rPr>
                <w:color w:val="auto"/>
                <w:highlight w:val="none"/>
              </w:rPr>
            </w:pPr>
          </w:p>
        </w:tc>
        <w:tc>
          <w:tcPr>
            <w:tcW w:w="2342" w:type="dxa"/>
            <w:tcBorders>
              <w:top w:val="single" w:color="000000" w:sz="4" w:space="0"/>
              <w:left w:val="single" w:color="000000" w:sz="4" w:space="0"/>
              <w:bottom w:val="single" w:color="000000" w:sz="4" w:space="0"/>
              <w:right w:val="single" w:color="000000" w:sz="4" w:space="0"/>
            </w:tcBorders>
            <w:vAlign w:val="center"/>
          </w:tcPr>
          <w:p>
            <w:pPr>
              <w:pStyle w:val="20"/>
              <w:rPr>
                <w:color w:val="auto"/>
                <w:highlight w:val="none"/>
              </w:rPr>
            </w:pP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0"/>
              <w:rPr>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0" w:hRule="atLeast"/>
          <w:jc w:val="center"/>
        </w:trPr>
        <w:tc>
          <w:tcPr>
            <w:tcW w:w="2301" w:type="dxa"/>
            <w:tcBorders>
              <w:top w:val="single" w:color="000000" w:sz="4" w:space="0"/>
              <w:left w:val="single" w:color="000000" w:sz="4" w:space="0"/>
              <w:bottom w:val="single" w:color="000000" w:sz="4" w:space="0"/>
              <w:right w:val="single" w:color="000000" w:sz="4" w:space="0"/>
            </w:tcBorders>
            <w:vAlign w:val="center"/>
          </w:tcPr>
          <w:p>
            <w:pPr>
              <w:pStyle w:val="20"/>
              <w:rPr>
                <w:color w:val="auto"/>
                <w:highlight w:val="none"/>
              </w:rPr>
            </w:pPr>
            <w:r>
              <w:rPr>
                <w:rFonts w:hint="eastAsia"/>
                <w:color w:val="auto"/>
                <w:highlight w:val="none"/>
              </w:rPr>
              <w:t>净利润</w:t>
            </w:r>
          </w:p>
        </w:tc>
        <w:tc>
          <w:tcPr>
            <w:tcW w:w="2410" w:type="dxa"/>
            <w:tcBorders>
              <w:top w:val="single" w:color="000000" w:sz="4" w:space="0"/>
              <w:left w:val="single" w:color="000000" w:sz="4" w:space="0"/>
              <w:bottom w:val="single" w:color="000000" w:sz="4" w:space="0"/>
              <w:right w:val="single" w:color="000000" w:sz="4" w:space="0"/>
            </w:tcBorders>
            <w:vAlign w:val="center"/>
          </w:tcPr>
          <w:p>
            <w:pPr>
              <w:pStyle w:val="20"/>
              <w:rPr>
                <w:color w:val="auto"/>
                <w:highlight w:val="none"/>
              </w:rPr>
            </w:pPr>
          </w:p>
        </w:tc>
        <w:tc>
          <w:tcPr>
            <w:tcW w:w="2342" w:type="dxa"/>
            <w:tcBorders>
              <w:top w:val="single" w:color="000000" w:sz="4" w:space="0"/>
              <w:left w:val="single" w:color="000000" w:sz="4" w:space="0"/>
              <w:bottom w:val="single" w:color="000000" w:sz="4" w:space="0"/>
              <w:right w:val="single" w:color="000000" w:sz="4" w:space="0"/>
            </w:tcBorders>
            <w:vAlign w:val="center"/>
          </w:tcPr>
          <w:p>
            <w:pPr>
              <w:pStyle w:val="20"/>
              <w:rPr>
                <w:color w:val="auto"/>
                <w:highlight w:val="none"/>
              </w:rPr>
            </w:pP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0"/>
              <w:rPr>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0" w:hRule="atLeast"/>
          <w:jc w:val="center"/>
        </w:trPr>
        <w:tc>
          <w:tcPr>
            <w:tcW w:w="2301" w:type="dxa"/>
            <w:tcBorders>
              <w:top w:val="single" w:color="000000" w:sz="4" w:space="0"/>
              <w:left w:val="single" w:color="000000" w:sz="4" w:space="0"/>
              <w:bottom w:val="single" w:color="000000" w:sz="4" w:space="0"/>
              <w:right w:val="single" w:color="000000" w:sz="4" w:space="0"/>
            </w:tcBorders>
            <w:vAlign w:val="center"/>
          </w:tcPr>
          <w:p>
            <w:pPr>
              <w:pStyle w:val="20"/>
              <w:rPr>
                <w:color w:val="auto"/>
                <w:highlight w:val="none"/>
              </w:rPr>
            </w:pPr>
            <w:r>
              <w:rPr>
                <w:rFonts w:hint="eastAsia"/>
                <w:color w:val="auto"/>
                <w:highlight w:val="none"/>
              </w:rPr>
              <w:t>流动比率</w:t>
            </w:r>
          </w:p>
        </w:tc>
        <w:tc>
          <w:tcPr>
            <w:tcW w:w="2410" w:type="dxa"/>
            <w:tcBorders>
              <w:top w:val="single" w:color="000000" w:sz="4" w:space="0"/>
              <w:left w:val="single" w:color="000000" w:sz="4" w:space="0"/>
              <w:bottom w:val="single" w:color="000000" w:sz="4" w:space="0"/>
              <w:right w:val="single" w:color="000000" w:sz="4" w:space="0"/>
            </w:tcBorders>
            <w:vAlign w:val="center"/>
          </w:tcPr>
          <w:p>
            <w:pPr>
              <w:pStyle w:val="20"/>
              <w:rPr>
                <w:color w:val="auto"/>
                <w:highlight w:val="none"/>
              </w:rPr>
            </w:pPr>
          </w:p>
        </w:tc>
        <w:tc>
          <w:tcPr>
            <w:tcW w:w="2342" w:type="dxa"/>
            <w:tcBorders>
              <w:top w:val="single" w:color="000000" w:sz="4" w:space="0"/>
              <w:left w:val="single" w:color="000000" w:sz="4" w:space="0"/>
              <w:bottom w:val="single" w:color="000000" w:sz="4" w:space="0"/>
              <w:right w:val="single" w:color="000000" w:sz="4" w:space="0"/>
            </w:tcBorders>
            <w:vAlign w:val="center"/>
          </w:tcPr>
          <w:p>
            <w:pPr>
              <w:pStyle w:val="20"/>
              <w:rPr>
                <w:color w:val="auto"/>
                <w:highlight w:val="none"/>
              </w:rPr>
            </w:pP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0"/>
              <w:rPr>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0" w:hRule="atLeast"/>
          <w:jc w:val="center"/>
        </w:trPr>
        <w:tc>
          <w:tcPr>
            <w:tcW w:w="2301" w:type="dxa"/>
            <w:tcBorders>
              <w:top w:val="single" w:color="000000" w:sz="4" w:space="0"/>
              <w:left w:val="single" w:color="000000" w:sz="4" w:space="0"/>
              <w:bottom w:val="single" w:color="000000" w:sz="4" w:space="0"/>
              <w:right w:val="single" w:color="000000" w:sz="4" w:space="0"/>
            </w:tcBorders>
            <w:vAlign w:val="center"/>
          </w:tcPr>
          <w:p>
            <w:pPr>
              <w:pStyle w:val="20"/>
              <w:rPr>
                <w:rFonts w:eastAsia="宋体"/>
                <w:color w:val="auto"/>
                <w:highlight w:val="none"/>
              </w:rPr>
            </w:pPr>
            <w:r>
              <w:rPr>
                <w:rFonts w:hint="eastAsia"/>
                <w:color w:val="auto"/>
                <w:highlight w:val="none"/>
              </w:rPr>
              <w:t>速动比率</w:t>
            </w:r>
          </w:p>
        </w:tc>
        <w:tc>
          <w:tcPr>
            <w:tcW w:w="2410" w:type="dxa"/>
            <w:tcBorders>
              <w:top w:val="single" w:color="000000" w:sz="4" w:space="0"/>
              <w:left w:val="single" w:color="000000" w:sz="4" w:space="0"/>
              <w:bottom w:val="single" w:color="000000" w:sz="4" w:space="0"/>
              <w:right w:val="single" w:color="000000" w:sz="4" w:space="0"/>
            </w:tcBorders>
            <w:vAlign w:val="center"/>
          </w:tcPr>
          <w:p>
            <w:pPr>
              <w:pStyle w:val="20"/>
              <w:rPr>
                <w:color w:val="auto"/>
                <w:highlight w:val="none"/>
              </w:rPr>
            </w:pPr>
          </w:p>
        </w:tc>
        <w:tc>
          <w:tcPr>
            <w:tcW w:w="2342" w:type="dxa"/>
            <w:tcBorders>
              <w:top w:val="single" w:color="000000" w:sz="4" w:space="0"/>
              <w:left w:val="single" w:color="000000" w:sz="4" w:space="0"/>
              <w:bottom w:val="single" w:color="000000" w:sz="4" w:space="0"/>
              <w:right w:val="single" w:color="000000" w:sz="4" w:space="0"/>
            </w:tcBorders>
            <w:vAlign w:val="center"/>
          </w:tcPr>
          <w:p>
            <w:pPr>
              <w:pStyle w:val="20"/>
              <w:rPr>
                <w:color w:val="auto"/>
                <w:highlight w:val="none"/>
              </w:rPr>
            </w:pP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0"/>
              <w:rPr>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0" w:hRule="atLeast"/>
          <w:jc w:val="center"/>
        </w:trPr>
        <w:tc>
          <w:tcPr>
            <w:tcW w:w="2301" w:type="dxa"/>
            <w:tcBorders>
              <w:top w:val="single" w:color="000000" w:sz="4" w:space="0"/>
              <w:left w:val="single" w:color="000000" w:sz="4" w:space="0"/>
              <w:bottom w:val="single" w:color="000000" w:sz="4" w:space="0"/>
              <w:right w:val="single" w:color="000000" w:sz="4" w:space="0"/>
            </w:tcBorders>
            <w:vAlign w:val="center"/>
          </w:tcPr>
          <w:p>
            <w:pPr>
              <w:pStyle w:val="20"/>
              <w:rPr>
                <w:color w:val="auto"/>
                <w:highlight w:val="none"/>
              </w:rPr>
            </w:pPr>
            <w:r>
              <w:rPr>
                <w:rFonts w:hint="eastAsia"/>
                <w:color w:val="auto"/>
                <w:highlight w:val="none"/>
              </w:rPr>
              <w:t>会计事务所名称</w:t>
            </w:r>
          </w:p>
        </w:tc>
        <w:tc>
          <w:tcPr>
            <w:tcW w:w="2410" w:type="dxa"/>
            <w:tcBorders>
              <w:top w:val="single" w:color="000000" w:sz="4" w:space="0"/>
              <w:left w:val="single" w:color="000000" w:sz="4" w:space="0"/>
              <w:bottom w:val="single" w:color="000000" w:sz="4" w:space="0"/>
              <w:right w:val="single" w:color="000000" w:sz="4" w:space="0"/>
            </w:tcBorders>
            <w:vAlign w:val="center"/>
          </w:tcPr>
          <w:p>
            <w:pPr>
              <w:pStyle w:val="20"/>
              <w:rPr>
                <w:color w:val="auto"/>
                <w:highlight w:val="none"/>
              </w:rPr>
            </w:pPr>
          </w:p>
        </w:tc>
        <w:tc>
          <w:tcPr>
            <w:tcW w:w="2342" w:type="dxa"/>
            <w:tcBorders>
              <w:top w:val="single" w:color="000000" w:sz="4" w:space="0"/>
              <w:left w:val="single" w:color="000000" w:sz="4" w:space="0"/>
              <w:bottom w:val="single" w:color="000000" w:sz="4" w:space="0"/>
              <w:right w:val="single" w:color="000000" w:sz="4" w:space="0"/>
            </w:tcBorders>
            <w:vAlign w:val="center"/>
          </w:tcPr>
          <w:p>
            <w:pPr>
              <w:pStyle w:val="20"/>
              <w:rPr>
                <w:color w:val="auto"/>
                <w:highlight w:val="none"/>
              </w:rPr>
            </w:pP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0"/>
              <w:rPr>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0" w:hRule="atLeast"/>
          <w:jc w:val="center"/>
        </w:trPr>
        <w:tc>
          <w:tcPr>
            <w:tcW w:w="2301" w:type="dxa"/>
            <w:tcBorders>
              <w:top w:val="single" w:color="000000" w:sz="4" w:space="0"/>
              <w:left w:val="single" w:color="000000" w:sz="4" w:space="0"/>
              <w:bottom w:val="single" w:color="000000" w:sz="4" w:space="0"/>
              <w:right w:val="single" w:color="000000" w:sz="4" w:space="0"/>
            </w:tcBorders>
            <w:vAlign w:val="center"/>
          </w:tcPr>
          <w:p>
            <w:pPr>
              <w:pStyle w:val="20"/>
              <w:rPr>
                <w:color w:val="auto"/>
                <w:highlight w:val="none"/>
              </w:rPr>
            </w:pPr>
            <w:r>
              <w:rPr>
                <w:rFonts w:hint="eastAsia"/>
                <w:color w:val="auto"/>
                <w:highlight w:val="none"/>
              </w:rPr>
              <w:t>事务所联系电话</w:t>
            </w:r>
          </w:p>
        </w:tc>
        <w:tc>
          <w:tcPr>
            <w:tcW w:w="2410" w:type="dxa"/>
            <w:tcBorders>
              <w:top w:val="single" w:color="000000" w:sz="4" w:space="0"/>
              <w:left w:val="single" w:color="000000" w:sz="4" w:space="0"/>
              <w:bottom w:val="single" w:color="000000" w:sz="4" w:space="0"/>
              <w:right w:val="single" w:color="000000" w:sz="4" w:space="0"/>
            </w:tcBorders>
            <w:vAlign w:val="center"/>
          </w:tcPr>
          <w:p>
            <w:pPr>
              <w:pStyle w:val="20"/>
              <w:rPr>
                <w:color w:val="auto"/>
                <w:highlight w:val="none"/>
              </w:rPr>
            </w:pPr>
          </w:p>
        </w:tc>
        <w:tc>
          <w:tcPr>
            <w:tcW w:w="2342" w:type="dxa"/>
            <w:tcBorders>
              <w:top w:val="single" w:color="000000" w:sz="4" w:space="0"/>
              <w:left w:val="single" w:color="000000" w:sz="4" w:space="0"/>
              <w:bottom w:val="single" w:color="000000" w:sz="4" w:space="0"/>
              <w:right w:val="single" w:color="000000" w:sz="4" w:space="0"/>
            </w:tcBorders>
            <w:vAlign w:val="center"/>
          </w:tcPr>
          <w:p>
            <w:pPr>
              <w:pStyle w:val="20"/>
              <w:rPr>
                <w:color w:val="auto"/>
                <w:highlight w:val="none"/>
              </w:rPr>
            </w:pP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0"/>
              <w:rPr>
                <w:color w:val="auto"/>
                <w:highlight w:val="none"/>
              </w:rPr>
            </w:pPr>
          </w:p>
        </w:tc>
      </w:tr>
    </w:tbl>
    <w:p>
      <w:pPr>
        <w:ind w:firstLine="640"/>
        <w:rPr>
          <w:color w:val="auto"/>
          <w:highlight w:val="none"/>
        </w:rPr>
      </w:pPr>
      <w:r>
        <w:rPr>
          <w:rFonts w:hint="eastAsia"/>
          <w:color w:val="auto"/>
          <w:highlight w:val="none"/>
        </w:rPr>
        <w:t>说明：申请人应填写最近三年的财务状况，并附最近三年的经审计的财务报告扫描件。</w:t>
      </w:r>
    </w:p>
    <w:p>
      <w:pPr>
        <w:ind w:firstLine="640"/>
        <w:rPr>
          <w:rFonts w:ascii="楷体" w:hAnsi="楷体" w:eastAsia="楷体" w:cs="楷体"/>
          <w:color w:val="auto"/>
          <w:highlight w:val="none"/>
        </w:rPr>
      </w:pPr>
      <w:r>
        <w:rPr>
          <w:rFonts w:hint="eastAsia" w:ascii="楷体" w:hAnsi="楷体" w:eastAsia="楷体" w:cs="楷体"/>
          <w:color w:val="auto"/>
          <w:highlight w:val="none"/>
        </w:rPr>
        <w:t>（二）实收资本</w:t>
      </w:r>
    </w:p>
    <w:p>
      <w:pPr>
        <w:ind w:firstLine="640"/>
        <w:rPr>
          <w:color w:val="auto"/>
          <w:highlight w:val="none"/>
        </w:rPr>
      </w:pPr>
      <w:r>
        <w:rPr>
          <w:rFonts w:hint="eastAsia"/>
          <w:color w:val="auto"/>
          <w:highlight w:val="none"/>
        </w:rPr>
        <w:t>以经审计的财务报告或验资报告为准。</w:t>
      </w:r>
    </w:p>
    <w:p>
      <w:pPr>
        <w:ind w:firstLine="640"/>
        <w:rPr>
          <w:color w:val="auto"/>
          <w:highlight w:val="none"/>
        </w:rPr>
      </w:pPr>
      <w:r>
        <w:rPr>
          <w:color w:val="auto"/>
          <w:highlight w:val="none"/>
        </w:rPr>
        <w:br w:type="page"/>
      </w:r>
    </w:p>
    <w:p>
      <w:pPr>
        <w:ind w:firstLine="640"/>
        <w:rPr>
          <w:rFonts w:ascii="黑体" w:hAnsi="黑体" w:eastAsia="黑体" w:cs="黑体"/>
          <w:color w:val="auto"/>
          <w:highlight w:val="none"/>
        </w:rPr>
      </w:pPr>
      <w:r>
        <w:rPr>
          <w:rFonts w:hint="eastAsia" w:ascii="黑体" w:hAnsi="黑体" w:eastAsia="黑体" w:cs="黑体"/>
          <w:color w:val="auto"/>
          <w:highlight w:val="none"/>
        </w:rPr>
        <w:t>七、应选报价</w:t>
      </w:r>
    </w:p>
    <w:p>
      <w:pPr>
        <w:ind w:firstLine="640"/>
        <w:rPr>
          <w:color w:val="auto"/>
          <w:highlight w:val="none"/>
        </w:rPr>
      </w:pPr>
      <w:r>
        <w:rPr>
          <w:rFonts w:hint="eastAsia"/>
          <w:color w:val="auto"/>
          <w:highlight w:val="none"/>
        </w:rPr>
        <w:t>申请人按照评审要求提供相关证明材料。</w:t>
      </w:r>
    </w:p>
    <w:p>
      <w:pPr>
        <w:ind w:firstLine="640"/>
        <w:rPr>
          <w:rFonts w:ascii="黑体" w:hAnsi="黑体" w:eastAsia="黑体" w:cs="黑体"/>
          <w:color w:val="auto"/>
          <w:highlight w:val="none"/>
        </w:rPr>
      </w:pPr>
    </w:p>
    <w:p>
      <w:pPr>
        <w:ind w:firstLine="640"/>
        <w:rPr>
          <w:rFonts w:ascii="黑体" w:hAnsi="黑体" w:eastAsia="黑体" w:cs="黑体"/>
          <w:color w:val="auto"/>
          <w:highlight w:val="none"/>
        </w:rPr>
      </w:pPr>
      <w:r>
        <w:rPr>
          <w:rFonts w:hint="eastAsia" w:ascii="黑体" w:hAnsi="黑体" w:eastAsia="黑体" w:cs="黑体"/>
          <w:color w:val="auto"/>
          <w:highlight w:val="none"/>
        </w:rPr>
        <w:t>八、综合实力（格式自拟）</w:t>
      </w:r>
    </w:p>
    <w:p>
      <w:pPr>
        <w:ind w:firstLine="640"/>
        <w:rPr>
          <w:color w:val="auto"/>
          <w:highlight w:val="none"/>
        </w:rPr>
      </w:pPr>
      <w:r>
        <w:rPr>
          <w:rFonts w:hint="eastAsia"/>
          <w:color w:val="auto"/>
          <w:highlight w:val="none"/>
        </w:rPr>
        <w:t>申请人按照评审要求提供相关证明材料。</w:t>
      </w:r>
    </w:p>
    <w:p>
      <w:pPr>
        <w:ind w:firstLine="640"/>
        <w:rPr>
          <w:color w:val="auto"/>
          <w:highlight w:val="none"/>
        </w:rPr>
      </w:pPr>
    </w:p>
    <w:p>
      <w:pPr>
        <w:ind w:firstLine="640"/>
        <w:rPr>
          <w:rFonts w:ascii="黑体" w:hAnsi="黑体" w:eastAsia="黑体" w:cs="黑体"/>
          <w:color w:val="auto"/>
          <w:highlight w:val="none"/>
        </w:rPr>
      </w:pPr>
      <w:r>
        <w:rPr>
          <w:rFonts w:hint="eastAsia" w:ascii="黑体" w:hAnsi="黑体" w:eastAsia="黑体" w:cs="黑体"/>
          <w:color w:val="auto"/>
          <w:highlight w:val="none"/>
          <w:lang w:val="en-US" w:eastAsia="zh-CN"/>
        </w:rPr>
        <w:t>九</w:t>
      </w:r>
      <w:r>
        <w:rPr>
          <w:rFonts w:hint="eastAsia" w:ascii="黑体" w:hAnsi="黑体" w:eastAsia="黑体" w:cs="黑体"/>
          <w:color w:val="auto"/>
          <w:highlight w:val="none"/>
        </w:rPr>
        <w:t>、</w:t>
      </w:r>
      <w:r>
        <w:rPr>
          <w:rFonts w:hint="eastAsia" w:ascii="黑体" w:hAnsi="黑体" w:eastAsia="黑体" w:cs="黑体"/>
          <w:color w:val="auto"/>
          <w:highlight w:val="none"/>
          <w:lang w:val="en-US" w:eastAsia="zh-CN"/>
        </w:rPr>
        <w:t>技术方案</w:t>
      </w:r>
      <w:r>
        <w:rPr>
          <w:rFonts w:hint="eastAsia" w:ascii="黑体" w:hAnsi="黑体" w:eastAsia="黑体" w:cs="黑体"/>
          <w:color w:val="auto"/>
          <w:highlight w:val="none"/>
        </w:rPr>
        <w:t>（格式自拟）</w:t>
      </w:r>
    </w:p>
    <w:p>
      <w:pPr>
        <w:ind w:firstLine="640"/>
        <w:rPr>
          <w:color w:val="auto"/>
          <w:highlight w:val="none"/>
        </w:rPr>
      </w:pPr>
      <w:r>
        <w:rPr>
          <w:rFonts w:hint="eastAsia"/>
          <w:color w:val="auto"/>
          <w:highlight w:val="none"/>
        </w:rPr>
        <w:t>申请人按照评审要求提供相关证明材料。</w:t>
      </w:r>
    </w:p>
    <w:p>
      <w:pPr>
        <w:ind w:firstLine="640"/>
        <w:rPr>
          <w:color w:val="auto"/>
          <w:highlight w:val="none"/>
        </w:rPr>
      </w:pPr>
    </w:p>
    <w:p>
      <w:pPr>
        <w:ind w:firstLine="640"/>
        <w:rPr>
          <w:rFonts w:hint="eastAsia" w:ascii="黑体" w:hAnsi="黑体" w:eastAsia="黑体" w:cs="黑体"/>
          <w:color w:val="auto"/>
          <w:highlight w:val="none"/>
          <w:lang w:val="en-US" w:eastAsia="zh-CN"/>
        </w:rPr>
      </w:pPr>
      <w:r>
        <w:rPr>
          <w:rFonts w:hint="eastAsia" w:ascii="黑体" w:hAnsi="黑体" w:eastAsia="黑体" w:cs="黑体"/>
          <w:color w:val="auto"/>
          <w:highlight w:val="none"/>
          <w:lang w:val="en-US" w:eastAsia="zh-CN"/>
        </w:rPr>
        <w:t>十、资格证明文件</w:t>
      </w:r>
    </w:p>
    <w:p>
      <w:pPr>
        <w:ind w:firstLine="640"/>
        <w:rPr>
          <w:color w:val="auto"/>
          <w:highlight w:val="none"/>
        </w:rPr>
      </w:pPr>
      <w:r>
        <w:rPr>
          <w:rFonts w:hint="eastAsia" w:ascii="仿宋_GB2312" w:hAnsi="仿宋_GB2312" w:cs="仿宋_GB2312"/>
          <w:color w:val="auto"/>
          <w:highlight w:val="none"/>
        </w:rPr>
        <w:t>（</w:t>
      </w:r>
      <w:r>
        <w:rPr>
          <w:rFonts w:hint="eastAsia" w:ascii="仿宋_GB2312" w:hAnsi="仿宋_GB2312" w:cs="仿宋_GB2312"/>
          <w:color w:val="auto"/>
          <w:highlight w:val="none"/>
          <w:lang w:val="en-US" w:eastAsia="zh-CN"/>
        </w:rPr>
        <w:t>1</w:t>
      </w:r>
      <w:r>
        <w:rPr>
          <w:rFonts w:hint="eastAsia" w:ascii="仿宋_GB2312" w:hAnsi="仿宋_GB2312" w:cs="仿宋_GB2312"/>
          <w:color w:val="auto"/>
          <w:highlight w:val="none"/>
        </w:rPr>
        <w:t>）申请人符合资格条件的承诺函（详见附件</w:t>
      </w:r>
      <w:r>
        <w:rPr>
          <w:rFonts w:hint="eastAsia" w:ascii="仿宋_GB2312" w:hAnsi="仿宋_GB2312" w:cs="仿宋_GB2312"/>
          <w:color w:val="auto"/>
          <w:highlight w:val="none"/>
          <w:lang w:val="en-US" w:eastAsia="zh-CN"/>
        </w:rPr>
        <w:t>1</w:t>
      </w:r>
      <w:r>
        <w:rPr>
          <w:rFonts w:hint="eastAsia" w:ascii="仿宋_GB2312" w:hAnsi="仿宋_GB2312" w:cs="仿宋_GB2312"/>
          <w:color w:val="auto"/>
          <w:highlight w:val="none"/>
        </w:rPr>
        <w:t>）；</w:t>
      </w:r>
    </w:p>
    <w:p>
      <w:pPr>
        <w:ind w:firstLine="640"/>
        <w:rPr>
          <w:rFonts w:ascii="仿宋_GB2312" w:hAnsi="仿宋_GB2312" w:cs="仿宋_GB2312"/>
          <w:color w:val="auto"/>
          <w:highlight w:val="none"/>
        </w:rPr>
      </w:pPr>
      <w:r>
        <w:rPr>
          <w:rFonts w:hint="eastAsia" w:ascii="仿宋_GB2312" w:hAnsi="仿宋_GB2312" w:cs="仿宋_GB2312"/>
          <w:color w:val="auto"/>
          <w:highlight w:val="none"/>
        </w:rPr>
        <w:t>（</w:t>
      </w:r>
      <w:r>
        <w:rPr>
          <w:rFonts w:hint="eastAsia" w:ascii="仿宋_GB2312" w:hAnsi="仿宋_GB2312" w:cs="仿宋_GB2312"/>
          <w:color w:val="auto"/>
          <w:highlight w:val="none"/>
          <w:lang w:val="en-US" w:eastAsia="zh-CN"/>
        </w:rPr>
        <w:t>2</w:t>
      </w:r>
      <w:r>
        <w:rPr>
          <w:rFonts w:hint="eastAsia" w:ascii="仿宋_GB2312" w:hAnsi="仿宋_GB2312" w:cs="仿宋_GB2312"/>
          <w:color w:val="auto"/>
          <w:highlight w:val="none"/>
        </w:rPr>
        <w:t>）申请人简介（包括但不限于主体资格、股权结构、主营业务、历史沿革、组织架构、资产负债等）；</w:t>
      </w:r>
    </w:p>
    <w:p>
      <w:pPr>
        <w:ind w:firstLine="640"/>
        <w:rPr>
          <w:rFonts w:ascii="仿宋_GB2312" w:hAnsi="仿宋_GB2312" w:cs="仿宋_GB2312"/>
          <w:color w:val="auto"/>
          <w:highlight w:val="none"/>
        </w:rPr>
      </w:pPr>
      <w:r>
        <w:rPr>
          <w:rFonts w:hint="eastAsia" w:ascii="仿宋_GB2312" w:hAnsi="仿宋_GB2312" w:cs="仿宋_GB2312"/>
          <w:color w:val="auto"/>
          <w:highlight w:val="none"/>
        </w:rPr>
        <w:t>（</w:t>
      </w:r>
      <w:r>
        <w:rPr>
          <w:rFonts w:hint="eastAsia" w:ascii="仿宋_GB2312" w:hAnsi="仿宋_GB2312" w:cs="仿宋_GB2312"/>
          <w:color w:val="auto"/>
          <w:highlight w:val="none"/>
          <w:lang w:val="en-US" w:eastAsia="zh-CN"/>
        </w:rPr>
        <w:t>3</w:t>
      </w:r>
      <w:r>
        <w:rPr>
          <w:rFonts w:hint="eastAsia" w:ascii="仿宋_GB2312" w:hAnsi="仿宋_GB2312" w:cs="仿宋_GB2312"/>
          <w:color w:val="auto"/>
          <w:highlight w:val="none"/>
        </w:rPr>
        <w:t>）申请人的营业执照复印件；</w:t>
      </w:r>
    </w:p>
    <w:p>
      <w:pPr>
        <w:pStyle w:val="2"/>
        <w:ind w:firstLine="640" w:firstLineChars="200"/>
        <w:rPr>
          <w:rFonts w:ascii="仿宋_GB2312" w:hAnsi="仿宋_GB2312" w:cs="仿宋_GB2312"/>
          <w:color w:val="auto"/>
          <w:highlight w:val="none"/>
        </w:rPr>
      </w:pPr>
      <w:r>
        <w:rPr>
          <w:rFonts w:hint="eastAsia" w:ascii="仿宋_GB2312" w:hAnsi="仿宋_GB2312" w:cs="仿宋_GB2312"/>
          <w:color w:val="auto"/>
          <w:highlight w:val="none"/>
        </w:rPr>
        <w:t>（</w:t>
      </w:r>
      <w:r>
        <w:rPr>
          <w:rFonts w:hint="eastAsia" w:ascii="仿宋_GB2312" w:hAnsi="仿宋_GB2312" w:cs="仿宋_GB2312"/>
          <w:color w:val="auto"/>
          <w:highlight w:val="none"/>
          <w:lang w:val="en-US" w:eastAsia="zh-CN"/>
        </w:rPr>
        <w:t>4</w:t>
      </w:r>
      <w:r>
        <w:rPr>
          <w:rFonts w:hint="eastAsia" w:ascii="仿宋_GB2312" w:hAnsi="仿宋_GB2312" w:cs="仿宋_GB2312"/>
          <w:color w:val="auto"/>
          <w:highlight w:val="none"/>
        </w:rPr>
        <w:t>）有依法缴纳税收和社会保障资金的良好记录（</w:t>
      </w:r>
      <w:r>
        <w:rPr>
          <w:rFonts w:hint="eastAsia"/>
          <w:color w:val="auto"/>
          <w:highlight w:val="none"/>
        </w:rPr>
        <w:t>提供连续三个月的依法缴纳税收和社会保障资金的良好记录，</w:t>
      </w:r>
      <w:r>
        <w:rPr>
          <w:rFonts w:hint="eastAsia" w:ascii="仿宋_GB2312" w:hAnsi="仿宋_GB2312" w:cs="仿宋_GB2312"/>
          <w:color w:val="auto"/>
          <w:highlight w:val="none"/>
        </w:rPr>
        <w:t>连续三个月指202</w:t>
      </w:r>
      <w:r>
        <w:rPr>
          <w:rFonts w:hint="eastAsia" w:ascii="仿宋_GB2312" w:hAnsi="仿宋_GB2312" w:cs="仿宋_GB2312"/>
          <w:color w:val="auto"/>
          <w:highlight w:val="none"/>
          <w:lang w:val="en-US" w:eastAsia="zh-CN"/>
        </w:rPr>
        <w:t>2</w:t>
      </w:r>
      <w:r>
        <w:rPr>
          <w:rFonts w:hint="eastAsia" w:ascii="仿宋_GB2312" w:hAnsi="仿宋_GB2312" w:cs="仿宋_GB2312"/>
          <w:color w:val="auto"/>
          <w:highlight w:val="none"/>
        </w:rPr>
        <w:t>年</w:t>
      </w:r>
      <w:r>
        <w:rPr>
          <w:rFonts w:hint="eastAsia" w:ascii="仿宋_GB2312" w:hAnsi="仿宋_GB2312" w:cs="仿宋_GB2312"/>
          <w:color w:val="auto"/>
          <w:highlight w:val="none"/>
          <w:lang w:val="en-US" w:eastAsia="zh-CN"/>
        </w:rPr>
        <w:t>12</w:t>
      </w:r>
      <w:r>
        <w:rPr>
          <w:rFonts w:hint="eastAsia" w:ascii="仿宋_GB2312" w:hAnsi="仿宋_GB2312" w:cs="仿宋_GB2312"/>
          <w:color w:val="auto"/>
          <w:highlight w:val="none"/>
        </w:rPr>
        <w:t>月-2023年</w:t>
      </w:r>
      <w:r>
        <w:rPr>
          <w:rFonts w:hint="eastAsia" w:ascii="仿宋_GB2312" w:hAnsi="仿宋_GB2312" w:cs="仿宋_GB2312"/>
          <w:color w:val="auto"/>
          <w:highlight w:val="none"/>
          <w:lang w:val="en-US" w:eastAsia="zh-CN"/>
        </w:rPr>
        <w:t>2</w:t>
      </w:r>
      <w:r>
        <w:rPr>
          <w:rFonts w:hint="eastAsia" w:ascii="仿宋_GB2312" w:hAnsi="仿宋_GB2312" w:cs="仿宋_GB2312"/>
          <w:color w:val="auto"/>
          <w:highlight w:val="none"/>
        </w:rPr>
        <w:t>月）；</w:t>
      </w:r>
    </w:p>
    <w:p>
      <w:pPr>
        <w:ind w:firstLine="640"/>
        <w:rPr>
          <w:rFonts w:ascii="仿宋_GB2312" w:hAnsi="仿宋_GB2312" w:cs="仿宋_GB2312"/>
          <w:color w:val="auto"/>
          <w:highlight w:val="none"/>
        </w:rPr>
      </w:pPr>
      <w:r>
        <w:rPr>
          <w:rFonts w:hint="eastAsia" w:ascii="仿宋_GB2312" w:hAnsi="仿宋_GB2312" w:cs="仿宋_GB2312"/>
          <w:color w:val="auto"/>
          <w:highlight w:val="none"/>
        </w:rPr>
        <w:t>（</w:t>
      </w:r>
      <w:r>
        <w:rPr>
          <w:rFonts w:hint="eastAsia" w:ascii="仿宋_GB2312" w:hAnsi="仿宋_GB2312" w:cs="仿宋_GB2312"/>
          <w:color w:val="auto"/>
          <w:highlight w:val="none"/>
          <w:lang w:val="en-US" w:eastAsia="zh-CN"/>
        </w:rPr>
        <w:t>5</w:t>
      </w:r>
      <w:r>
        <w:rPr>
          <w:rFonts w:hint="eastAsia" w:ascii="仿宋_GB2312" w:hAnsi="仿宋_GB2312" w:cs="仿宋_GB2312"/>
          <w:color w:val="auto"/>
          <w:highlight w:val="none"/>
        </w:rPr>
        <w:t>）申请人近三年（截止至本公告发布前36个月）内在经营活动中没有重大违法记录，未被“信用中国”网站列入失信被执行人和重大税收违法案件当事人名单，不存在潜在或未决重大诉讼、仲裁及争议（提供“信用中国”网站和“国家企业信用信息公示系统”信用信息系统查询打印件）；</w:t>
      </w:r>
    </w:p>
    <w:p>
      <w:pPr>
        <w:ind w:firstLine="640"/>
        <w:rPr>
          <w:rFonts w:ascii="仿宋_GB2312" w:hAnsi="仿宋_GB2312" w:cs="仿宋_GB2312"/>
          <w:color w:val="auto"/>
          <w:highlight w:val="none"/>
        </w:rPr>
      </w:pPr>
      <w:r>
        <w:rPr>
          <w:rFonts w:hint="eastAsia" w:ascii="仿宋_GB2312" w:hAnsi="仿宋_GB2312" w:cs="仿宋_GB2312"/>
          <w:color w:val="auto"/>
          <w:highlight w:val="none"/>
        </w:rPr>
        <w:t>（</w:t>
      </w:r>
      <w:r>
        <w:rPr>
          <w:rFonts w:hint="eastAsia" w:ascii="仿宋_GB2312" w:hAnsi="仿宋_GB2312" w:cs="仿宋_GB2312"/>
          <w:color w:val="auto"/>
          <w:highlight w:val="none"/>
          <w:lang w:val="en-US" w:eastAsia="zh-CN"/>
        </w:rPr>
        <w:t>6</w:t>
      </w:r>
      <w:r>
        <w:rPr>
          <w:rFonts w:hint="eastAsia" w:ascii="仿宋_GB2312" w:hAnsi="仿宋_GB2312" w:cs="仿宋_GB2312"/>
          <w:color w:val="auto"/>
          <w:highlight w:val="none"/>
        </w:rPr>
        <w:t>）保密承诺函（详见附件</w:t>
      </w:r>
      <w:r>
        <w:rPr>
          <w:rFonts w:hint="eastAsia" w:ascii="仿宋_GB2312" w:hAnsi="仿宋_GB2312" w:cs="仿宋_GB2312"/>
          <w:color w:val="auto"/>
          <w:highlight w:val="none"/>
          <w:lang w:val="en-US" w:eastAsia="zh-CN"/>
        </w:rPr>
        <w:t>2</w:t>
      </w:r>
      <w:r>
        <w:rPr>
          <w:rFonts w:hint="eastAsia" w:ascii="仿宋_GB2312" w:hAnsi="仿宋_GB2312" w:cs="仿宋_GB2312"/>
          <w:color w:val="auto"/>
          <w:highlight w:val="none"/>
        </w:rPr>
        <w:t>）；</w:t>
      </w:r>
    </w:p>
    <w:p>
      <w:pPr>
        <w:ind w:firstLine="640"/>
        <w:rPr>
          <w:rFonts w:ascii="仿宋_GB2312" w:hAnsi="仿宋_GB2312" w:cs="仿宋_GB2312"/>
          <w:color w:val="auto"/>
          <w:highlight w:val="none"/>
        </w:rPr>
      </w:pPr>
      <w:r>
        <w:rPr>
          <w:rFonts w:hint="eastAsia" w:ascii="仿宋_GB2312" w:hAnsi="仿宋_GB2312" w:cs="仿宋_GB2312"/>
          <w:color w:val="auto"/>
          <w:highlight w:val="none"/>
        </w:rPr>
        <w:t>（</w:t>
      </w:r>
      <w:r>
        <w:rPr>
          <w:rFonts w:hint="eastAsia" w:ascii="仿宋_GB2312" w:hAnsi="仿宋_GB2312" w:cs="仿宋_GB2312"/>
          <w:color w:val="auto"/>
          <w:highlight w:val="none"/>
          <w:lang w:val="en-US" w:eastAsia="zh-CN"/>
        </w:rPr>
        <w:t>7</w:t>
      </w:r>
      <w:r>
        <w:rPr>
          <w:rFonts w:hint="eastAsia" w:ascii="仿宋_GB2312" w:hAnsi="仿宋_GB2312" w:cs="仿宋_GB2312"/>
          <w:color w:val="auto"/>
          <w:highlight w:val="none"/>
        </w:rPr>
        <w:t>）申请人或其关联公司在长沙</w:t>
      </w:r>
      <w:r>
        <w:rPr>
          <w:rFonts w:hint="eastAsia"/>
          <w:color w:val="auto"/>
          <w:highlight w:val="none"/>
        </w:rPr>
        <w:t>行政区域</w:t>
      </w:r>
      <w:r>
        <w:rPr>
          <w:rFonts w:hint="eastAsia" w:ascii="仿宋_GB2312" w:hAnsi="仿宋_GB2312" w:cs="仿宋_GB2312"/>
          <w:color w:val="auto"/>
          <w:highlight w:val="none"/>
        </w:rPr>
        <w:t>范围内，具有500间一年以上（至合作申请文件递交截止时间止）的集中式长租公寓或酒店式公寓正常运营，</w:t>
      </w:r>
      <w:r>
        <w:rPr>
          <w:rFonts w:hint="eastAsia"/>
          <w:color w:val="auto"/>
          <w:highlight w:val="none"/>
        </w:rPr>
        <w:t>此处集中式定义为单体项目不低于100间，低于100间的单体项目不计入总数</w:t>
      </w:r>
      <w:r>
        <w:rPr>
          <w:rFonts w:hint="eastAsia" w:ascii="仿宋_GB2312" w:hAnsi="仿宋_GB2312" w:cs="仿宋_GB2312"/>
          <w:color w:val="auto"/>
          <w:highlight w:val="none"/>
        </w:rPr>
        <w:t>（提供相关合同关键页，至少须能体现合同主体、运营数量、类型、运营期限）；</w:t>
      </w:r>
    </w:p>
    <w:p>
      <w:pPr>
        <w:ind w:firstLine="640"/>
        <w:rPr>
          <w:rFonts w:ascii="仿宋_GB2312" w:hAnsi="仿宋_GB2312" w:cs="仿宋_GB2312"/>
          <w:color w:val="auto"/>
          <w:highlight w:val="none"/>
        </w:rPr>
      </w:pPr>
      <w:r>
        <w:rPr>
          <w:rFonts w:hint="eastAsia" w:ascii="仿宋_GB2312" w:hAnsi="仿宋_GB2312" w:cs="仿宋_GB2312"/>
          <w:color w:val="auto"/>
          <w:highlight w:val="none"/>
        </w:rPr>
        <w:t>（</w:t>
      </w:r>
      <w:r>
        <w:rPr>
          <w:rFonts w:hint="eastAsia" w:ascii="仿宋_GB2312" w:hAnsi="仿宋_GB2312" w:cs="仿宋_GB2312"/>
          <w:color w:val="auto"/>
          <w:highlight w:val="none"/>
          <w:lang w:val="en-US" w:eastAsia="zh-CN"/>
        </w:rPr>
        <w:t>8</w:t>
      </w:r>
      <w:r>
        <w:rPr>
          <w:rFonts w:hint="eastAsia" w:ascii="仿宋_GB2312" w:hAnsi="仿宋_GB2312" w:cs="仿宋_GB2312"/>
          <w:color w:val="auto"/>
          <w:highlight w:val="none"/>
        </w:rPr>
        <w:t>）申请人具有自主开发的或单独授权使用的租赁住房运营管理系统且实际运用于项目一年以上（至合作申请文件递交截止时间止，提供能证明自主开发或单独授权且能体现使用期限的相关证明材料）；</w:t>
      </w:r>
    </w:p>
    <w:p>
      <w:pPr>
        <w:ind w:firstLine="640"/>
        <w:rPr>
          <w:rFonts w:ascii="仿宋_GB2312" w:hAnsi="仿宋_GB2312" w:cs="仿宋_GB2312"/>
          <w:color w:val="auto"/>
          <w:highlight w:val="none"/>
        </w:rPr>
      </w:pPr>
      <w:r>
        <w:rPr>
          <w:rFonts w:hint="eastAsia" w:ascii="仿宋_GB2312" w:hAnsi="仿宋_GB2312" w:cs="仿宋_GB2312"/>
          <w:color w:val="auto"/>
          <w:highlight w:val="none"/>
        </w:rPr>
        <w:t>（</w:t>
      </w:r>
      <w:r>
        <w:rPr>
          <w:rFonts w:hint="eastAsia" w:ascii="仿宋_GB2312" w:hAnsi="仿宋_GB2312" w:cs="仿宋_GB2312"/>
          <w:color w:val="auto"/>
          <w:highlight w:val="none"/>
          <w:lang w:val="en-US" w:eastAsia="zh-CN"/>
        </w:rPr>
        <w:t>9</w:t>
      </w:r>
      <w:r>
        <w:rPr>
          <w:rFonts w:hint="eastAsia" w:ascii="仿宋_GB2312" w:hAnsi="仿宋_GB2312" w:cs="仿宋_GB2312"/>
          <w:color w:val="auto"/>
          <w:highlight w:val="none"/>
        </w:rPr>
        <w:t>）申请人或控股母公司注册资本金≥2000万元。</w:t>
      </w:r>
    </w:p>
    <w:p>
      <w:pPr>
        <w:ind w:firstLine="640"/>
        <w:rPr>
          <w:rFonts w:ascii="仿宋_GB2312" w:hAnsi="仿宋_GB2312" w:cs="仿宋_GB2312"/>
          <w:color w:val="auto"/>
          <w:highlight w:val="none"/>
        </w:rPr>
      </w:pPr>
      <w:r>
        <w:rPr>
          <w:rFonts w:hint="eastAsia" w:ascii="仿宋_GB2312" w:hAnsi="仿宋_GB2312" w:cs="仿宋_GB2312"/>
          <w:color w:val="auto"/>
          <w:highlight w:val="none"/>
        </w:rPr>
        <w:t>对于上述材料，申请人应逐项加盖公章和骑缝章。附件的模板不接受修改。</w:t>
      </w:r>
    </w:p>
    <w:p>
      <w:pPr>
        <w:ind w:firstLine="0" w:firstLineChars="0"/>
        <w:rPr>
          <w:rFonts w:hint="eastAsia"/>
          <w:color w:val="auto"/>
          <w:highlight w:val="none"/>
        </w:rPr>
      </w:pPr>
    </w:p>
    <w:p>
      <w:pPr>
        <w:ind w:firstLine="0" w:firstLineChars="0"/>
        <w:rPr>
          <w:rFonts w:hint="eastAsia"/>
          <w:color w:val="auto"/>
          <w:highlight w:val="none"/>
        </w:rPr>
      </w:pPr>
    </w:p>
    <w:p>
      <w:pPr>
        <w:ind w:firstLine="0" w:firstLineChars="0"/>
        <w:rPr>
          <w:rFonts w:hint="eastAsia"/>
          <w:color w:val="auto"/>
          <w:highlight w:val="none"/>
        </w:rPr>
      </w:pPr>
    </w:p>
    <w:p>
      <w:pPr>
        <w:ind w:firstLine="0" w:firstLineChars="0"/>
        <w:rPr>
          <w:rFonts w:hint="eastAsia"/>
          <w:color w:val="auto"/>
          <w:highlight w:val="none"/>
        </w:rPr>
      </w:pPr>
    </w:p>
    <w:p>
      <w:pPr>
        <w:ind w:firstLine="0" w:firstLineChars="0"/>
        <w:rPr>
          <w:rFonts w:hint="eastAsia"/>
          <w:color w:val="auto"/>
          <w:highlight w:val="none"/>
        </w:rPr>
      </w:pPr>
    </w:p>
    <w:p>
      <w:pPr>
        <w:ind w:firstLine="0" w:firstLineChars="0"/>
        <w:rPr>
          <w:rFonts w:hint="eastAsia"/>
          <w:color w:val="auto"/>
          <w:highlight w:val="none"/>
        </w:rPr>
      </w:pPr>
    </w:p>
    <w:p>
      <w:pPr>
        <w:ind w:firstLine="0" w:firstLineChars="0"/>
        <w:rPr>
          <w:rFonts w:hint="eastAsia"/>
          <w:color w:val="auto"/>
          <w:highlight w:val="none"/>
        </w:rPr>
      </w:pPr>
    </w:p>
    <w:p>
      <w:pPr>
        <w:ind w:firstLine="0" w:firstLineChars="0"/>
        <w:rPr>
          <w:rFonts w:hint="eastAsia"/>
          <w:color w:val="auto"/>
          <w:highlight w:val="none"/>
        </w:rPr>
      </w:pPr>
    </w:p>
    <w:p>
      <w:pPr>
        <w:ind w:firstLine="0" w:firstLineChars="0"/>
        <w:rPr>
          <w:rFonts w:hint="eastAsia"/>
          <w:color w:val="auto"/>
          <w:highlight w:val="none"/>
        </w:rPr>
      </w:pPr>
    </w:p>
    <w:p>
      <w:pPr>
        <w:ind w:firstLine="0" w:firstLineChars="0"/>
        <w:rPr>
          <w:rFonts w:hint="eastAsia"/>
          <w:color w:val="auto"/>
          <w:highlight w:val="none"/>
        </w:rPr>
      </w:pPr>
    </w:p>
    <w:p>
      <w:pPr>
        <w:ind w:firstLine="0" w:firstLineChars="0"/>
        <w:rPr>
          <w:rFonts w:hint="eastAsia"/>
          <w:color w:val="auto"/>
          <w:highlight w:val="none"/>
        </w:rPr>
      </w:pPr>
    </w:p>
    <w:p>
      <w:pPr>
        <w:ind w:firstLine="0" w:firstLineChars="0"/>
        <w:rPr>
          <w:rFonts w:hint="eastAsia"/>
          <w:color w:val="auto"/>
          <w:highlight w:val="none"/>
        </w:rPr>
      </w:pPr>
    </w:p>
    <w:p>
      <w:pPr>
        <w:ind w:firstLine="0" w:firstLineChars="0"/>
        <w:rPr>
          <w:color w:val="auto"/>
          <w:highlight w:val="none"/>
        </w:rPr>
      </w:pPr>
      <w:r>
        <w:rPr>
          <w:color w:val="auto"/>
          <w:highlight w:val="none"/>
        </w:rPr>
        <w:t>附件</w:t>
      </w:r>
      <w:r>
        <w:rPr>
          <w:rFonts w:hint="eastAsia"/>
          <w:color w:val="auto"/>
          <w:highlight w:val="none"/>
          <w:lang w:val="en-US" w:eastAsia="zh-CN"/>
        </w:rPr>
        <w:t>1</w:t>
      </w:r>
      <w:r>
        <w:rPr>
          <w:rFonts w:hint="eastAsia"/>
          <w:color w:val="auto"/>
          <w:highlight w:val="none"/>
        </w:rPr>
        <w:t>：</w:t>
      </w:r>
    </w:p>
    <w:p>
      <w:pPr>
        <w:ind w:firstLine="0" w:firstLineChars="0"/>
        <w:jc w:val="center"/>
        <w:outlineLvl w:val="0"/>
        <w:rPr>
          <w:rFonts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t>申请人符合资格条件的承诺函</w:t>
      </w:r>
    </w:p>
    <w:p>
      <w:pPr>
        <w:spacing w:line="500" w:lineRule="exact"/>
        <w:ind w:firstLine="0" w:firstLineChars="0"/>
        <w:rPr>
          <w:color w:val="auto"/>
          <w:highlight w:val="none"/>
        </w:rPr>
      </w:pPr>
      <w:r>
        <w:rPr>
          <w:color w:val="auto"/>
          <w:highlight w:val="none"/>
        </w:rPr>
        <w:t>致：</w:t>
      </w:r>
      <w:r>
        <w:rPr>
          <w:rFonts w:hint="eastAsia"/>
          <w:color w:val="auto"/>
          <w:highlight w:val="none"/>
        </w:rPr>
        <w:t>长沙市土地开发建设有限责任公司</w:t>
      </w:r>
    </w:p>
    <w:p>
      <w:pPr>
        <w:spacing w:line="500" w:lineRule="exact"/>
        <w:ind w:firstLine="640"/>
        <w:rPr>
          <w:color w:val="auto"/>
          <w:highlight w:val="none"/>
        </w:rPr>
      </w:pPr>
      <w:r>
        <w:rPr>
          <w:color w:val="auto"/>
          <w:highlight w:val="none"/>
        </w:rPr>
        <w:t>我单位拟参与</w:t>
      </w:r>
      <w:r>
        <w:rPr>
          <w:rFonts w:hint="eastAsia"/>
          <w:color w:val="auto"/>
          <w:highlight w:val="none"/>
        </w:rPr>
        <w:t>长沙市土地开发建设有限责任公司</w:t>
      </w:r>
      <w:r>
        <w:rPr>
          <w:color w:val="auto"/>
          <w:highlight w:val="none"/>
        </w:rPr>
        <w:t>开展的公开</w:t>
      </w:r>
      <w:r>
        <w:rPr>
          <w:rFonts w:hint="eastAsia"/>
          <w:color w:val="auto"/>
          <w:highlight w:val="none"/>
        </w:rPr>
        <w:t>招募长投新成公寓运营合作单位遴选</w:t>
      </w:r>
      <w:r>
        <w:rPr>
          <w:color w:val="auto"/>
          <w:highlight w:val="none"/>
        </w:rPr>
        <w:t>。我单位承诺，我单位符合</w:t>
      </w:r>
      <w:r>
        <w:rPr>
          <w:rFonts w:hint="eastAsia"/>
          <w:color w:val="auto"/>
          <w:highlight w:val="none"/>
        </w:rPr>
        <w:t>贵公司</w:t>
      </w:r>
      <w:r>
        <w:rPr>
          <w:color w:val="auto"/>
          <w:highlight w:val="none"/>
        </w:rPr>
        <w:t>发布的招募公告规定的</w:t>
      </w:r>
      <w:r>
        <w:rPr>
          <w:rFonts w:hint="eastAsia"/>
          <w:color w:val="auto"/>
          <w:highlight w:val="none"/>
        </w:rPr>
        <w:t>申请</w:t>
      </w:r>
      <w:r>
        <w:rPr>
          <w:color w:val="auto"/>
          <w:highlight w:val="none"/>
        </w:rPr>
        <w:t>人应具备的下述各项资格条件：</w:t>
      </w:r>
    </w:p>
    <w:p>
      <w:pPr>
        <w:spacing w:line="500" w:lineRule="exact"/>
        <w:ind w:firstLine="640"/>
        <w:rPr>
          <w:color w:val="auto"/>
          <w:highlight w:val="none"/>
        </w:rPr>
      </w:pPr>
      <w:r>
        <w:rPr>
          <w:rFonts w:hint="eastAsia"/>
          <w:color w:val="auto"/>
          <w:highlight w:val="none"/>
        </w:rPr>
        <w:t>（1）我单位为中华人民共和国境内合法注册的独立法人，营业执照处于有效期。我单位有连续三个月的依法缴纳税收和社会保障资金的良好记录。</w:t>
      </w:r>
    </w:p>
    <w:p>
      <w:pPr>
        <w:spacing w:line="500" w:lineRule="exact"/>
        <w:ind w:firstLine="640"/>
        <w:rPr>
          <w:color w:val="auto"/>
          <w:highlight w:val="none"/>
        </w:rPr>
      </w:pPr>
      <w:r>
        <w:rPr>
          <w:rFonts w:hint="eastAsia"/>
          <w:color w:val="auto"/>
          <w:highlight w:val="none"/>
        </w:rPr>
        <w:t>（2）我单位（或关联公司）在长沙市行政区域范围内，具有500间一年以上</w:t>
      </w:r>
      <w:r>
        <w:rPr>
          <w:rFonts w:hint="eastAsia" w:ascii="仿宋_GB2312" w:hAnsi="仿宋_GB2312" w:cs="仿宋_GB2312"/>
          <w:color w:val="auto"/>
          <w:highlight w:val="none"/>
        </w:rPr>
        <w:t>（至合作申请文件递交截止时间止）</w:t>
      </w:r>
      <w:r>
        <w:rPr>
          <w:rFonts w:hint="eastAsia"/>
          <w:color w:val="auto"/>
          <w:highlight w:val="none"/>
        </w:rPr>
        <w:t>的集中式长租公寓或酒店式公寓正常运营，此处集中式定义为单体项目不低于100间，低于100间的单体项目不计入总数。</w:t>
      </w:r>
    </w:p>
    <w:p>
      <w:pPr>
        <w:spacing w:line="500" w:lineRule="exact"/>
        <w:ind w:firstLine="640"/>
        <w:rPr>
          <w:color w:val="auto"/>
          <w:highlight w:val="none"/>
        </w:rPr>
      </w:pPr>
      <w:r>
        <w:rPr>
          <w:rFonts w:hint="eastAsia"/>
          <w:color w:val="auto"/>
          <w:highlight w:val="none"/>
        </w:rPr>
        <w:t>（3）我单位具有自主开发的或单独授权使用的租赁住房运营管理系统且实际运用于项目一年以上</w:t>
      </w:r>
      <w:r>
        <w:rPr>
          <w:rFonts w:hint="eastAsia" w:ascii="仿宋_GB2312" w:hAnsi="仿宋_GB2312" w:cs="仿宋_GB2312"/>
          <w:color w:val="auto"/>
          <w:highlight w:val="none"/>
        </w:rPr>
        <w:t>（至合作申请文件递交截止时间止）</w:t>
      </w:r>
      <w:r>
        <w:rPr>
          <w:rFonts w:hint="eastAsia"/>
          <w:color w:val="auto"/>
          <w:highlight w:val="none"/>
        </w:rPr>
        <w:t>。</w:t>
      </w:r>
    </w:p>
    <w:p>
      <w:pPr>
        <w:spacing w:line="500" w:lineRule="exact"/>
        <w:ind w:firstLine="640"/>
        <w:rPr>
          <w:color w:val="auto"/>
          <w:highlight w:val="none"/>
        </w:rPr>
      </w:pPr>
      <w:r>
        <w:rPr>
          <w:rFonts w:hint="eastAsia" w:ascii="仿宋_GB2312" w:hAnsi="仿宋_GB2312" w:cs="仿宋_GB2312"/>
          <w:color w:val="auto"/>
          <w:highlight w:val="none"/>
        </w:rPr>
        <w:t>（4）申请人或控股母公司注册资本金≥2000万元。</w:t>
      </w:r>
    </w:p>
    <w:p>
      <w:pPr>
        <w:pStyle w:val="2"/>
        <w:spacing w:line="500" w:lineRule="exact"/>
        <w:ind w:firstLine="640" w:firstLineChars="200"/>
        <w:rPr>
          <w:color w:val="auto"/>
          <w:highlight w:val="none"/>
        </w:rPr>
      </w:pPr>
      <w:r>
        <w:rPr>
          <w:rFonts w:hint="eastAsia"/>
          <w:color w:val="auto"/>
          <w:highlight w:val="none"/>
        </w:rPr>
        <w:t>（5）我单位近三年（截止至本公告发布前36个月）内在经营活动中没有重大违法记录，未被“信用中国”网站列入失信被执行人和重大税收违法案件当事人名单，不存在潜在或未决重大诉讼、仲裁及争议（提供“信用中国”网站和“国家企业信用信息公示系统”信用信息系统查询打印件）。</w:t>
      </w:r>
    </w:p>
    <w:p>
      <w:pPr>
        <w:wordWrap w:val="0"/>
        <w:ind w:firstLine="0" w:firstLineChars="0"/>
        <w:jc w:val="right"/>
        <w:rPr>
          <w:color w:val="auto"/>
          <w:highlight w:val="none"/>
        </w:rPr>
      </w:pPr>
      <w:r>
        <w:rPr>
          <w:color w:val="auto"/>
          <w:highlight w:val="none"/>
        </w:rPr>
        <w:t>承诺人：       （公章）</w:t>
      </w:r>
    </w:p>
    <w:p>
      <w:pPr>
        <w:ind w:firstLine="640"/>
        <w:jc w:val="right"/>
        <w:rPr>
          <w:color w:val="auto"/>
          <w:highlight w:val="none"/>
        </w:rPr>
      </w:pPr>
      <w:r>
        <w:rPr>
          <w:color w:val="auto"/>
          <w:highlight w:val="none"/>
        </w:rPr>
        <w:t>二〇二</w:t>
      </w:r>
      <w:r>
        <w:rPr>
          <w:rFonts w:hint="eastAsia"/>
          <w:color w:val="auto"/>
          <w:highlight w:val="none"/>
        </w:rPr>
        <w:t>三</w:t>
      </w:r>
      <w:r>
        <w:rPr>
          <w:color w:val="auto"/>
          <w:highlight w:val="none"/>
        </w:rPr>
        <w:t>年  月  日</w:t>
      </w:r>
      <w:r>
        <w:rPr>
          <w:rFonts w:hint="eastAsia"/>
          <w:color w:val="auto"/>
          <w:highlight w:val="none"/>
        </w:rPr>
        <w:t xml:space="preserve">     </w:t>
      </w:r>
    </w:p>
    <w:p>
      <w:pPr>
        <w:ind w:firstLine="640"/>
        <w:rPr>
          <w:color w:val="auto"/>
          <w:highlight w:val="none"/>
        </w:rPr>
      </w:pPr>
      <w:r>
        <w:rPr>
          <w:color w:val="auto"/>
          <w:highlight w:val="none"/>
        </w:rPr>
        <w:br w:type="page"/>
      </w:r>
    </w:p>
    <w:p>
      <w:pPr>
        <w:ind w:firstLine="0" w:firstLineChars="0"/>
        <w:rPr>
          <w:color w:val="auto"/>
          <w:highlight w:val="none"/>
        </w:rPr>
      </w:pPr>
      <w:r>
        <w:rPr>
          <w:rFonts w:hint="eastAsia"/>
          <w:color w:val="auto"/>
          <w:highlight w:val="none"/>
        </w:rPr>
        <w:t>附件</w:t>
      </w:r>
      <w:r>
        <w:rPr>
          <w:rFonts w:hint="eastAsia"/>
          <w:color w:val="auto"/>
          <w:highlight w:val="none"/>
          <w:lang w:val="en-US" w:eastAsia="zh-CN"/>
        </w:rPr>
        <w:t>2</w:t>
      </w:r>
      <w:r>
        <w:rPr>
          <w:rFonts w:hint="eastAsia"/>
          <w:color w:val="auto"/>
          <w:highlight w:val="none"/>
        </w:rPr>
        <w:t>：</w:t>
      </w:r>
    </w:p>
    <w:p>
      <w:pPr>
        <w:ind w:firstLine="0" w:firstLineChars="0"/>
        <w:jc w:val="center"/>
        <w:rPr>
          <w:rFonts w:ascii="方正小标宋简体" w:hAnsi="方正小标宋简体" w:eastAsia="方正小标宋简体" w:cs="方正小标宋简体"/>
          <w:b/>
          <w:bCs/>
          <w:color w:val="auto"/>
          <w:sz w:val="44"/>
          <w:szCs w:val="44"/>
          <w:highlight w:val="none"/>
        </w:rPr>
      </w:pPr>
      <w:r>
        <w:rPr>
          <w:rFonts w:hint="eastAsia" w:ascii="方正小标宋简体" w:hAnsi="方正小标宋简体" w:eastAsia="方正小标宋简体" w:cs="方正小标宋简体"/>
          <w:b/>
          <w:bCs/>
          <w:color w:val="auto"/>
          <w:sz w:val="44"/>
          <w:szCs w:val="44"/>
          <w:highlight w:val="none"/>
        </w:rPr>
        <w:t>保密承诺函</w:t>
      </w:r>
    </w:p>
    <w:p>
      <w:pPr>
        <w:ind w:firstLine="0" w:firstLineChars="0"/>
        <w:rPr>
          <w:color w:val="auto"/>
          <w:highlight w:val="none"/>
        </w:rPr>
      </w:pPr>
      <w:r>
        <w:rPr>
          <w:rFonts w:hint="eastAsia"/>
          <w:color w:val="auto"/>
          <w:highlight w:val="none"/>
        </w:rPr>
        <w:t>致：长沙市土地开发建设有限责任公司</w:t>
      </w:r>
    </w:p>
    <w:p>
      <w:pPr>
        <w:ind w:firstLine="640"/>
        <w:rPr>
          <w:color w:val="auto"/>
          <w:highlight w:val="none"/>
        </w:rPr>
      </w:pPr>
      <w:r>
        <w:rPr>
          <w:rFonts w:hint="eastAsia"/>
          <w:color w:val="auto"/>
          <w:highlight w:val="none"/>
        </w:rPr>
        <w:t>我单位承诺在参与贵公司正在进行的长投新成公寓运营合作单位公开招募遴选的过程中，严守商业秘密，承担保密义务：</w:t>
      </w:r>
    </w:p>
    <w:p>
      <w:pPr>
        <w:ind w:firstLine="640"/>
        <w:rPr>
          <w:color w:val="auto"/>
          <w:highlight w:val="none"/>
        </w:rPr>
      </w:pPr>
      <w:r>
        <w:rPr>
          <w:color w:val="auto"/>
          <w:highlight w:val="none"/>
        </w:rPr>
        <w:t>一、保密信息指贵公司向我公司提供的不为公众所知悉的、能为权利人带来经济利益、具有实用性且被贵公司采取保密措施的技术信息和经营信息。</w:t>
      </w:r>
    </w:p>
    <w:p>
      <w:pPr>
        <w:ind w:firstLine="640"/>
        <w:rPr>
          <w:color w:val="auto"/>
          <w:highlight w:val="none"/>
        </w:rPr>
      </w:pPr>
      <w:r>
        <w:rPr>
          <w:color w:val="auto"/>
          <w:highlight w:val="none"/>
        </w:rPr>
        <w:t>二、我公司承诺妥善保管保密信息，未经贵公司允许，不得向与本项目工作无关的第三方（包括新闻媒体）披露该等信息，亦不会将该等信息用于与本项目无关的其他用途。</w:t>
      </w:r>
    </w:p>
    <w:p>
      <w:pPr>
        <w:ind w:firstLine="640"/>
        <w:rPr>
          <w:color w:val="auto"/>
          <w:highlight w:val="none"/>
        </w:rPr>
      </w:pPr>
      <w:r>
        <w:rPr>
          <w:color w:val="auto"/>
          <w:highlight w:val="none"/>
        </w:rPr>
        <w:t>三、保密信息不包括如下信息：</w:t>
      </w:r>
    </w:p>
    <w:p>
      <w:pPr>
        <w:ind w:firstLine="640"/>
        <w:rPr>
          <w:color w:val="auto"/>
          <w:highlight w:val="none"/>
        </w:rPr>
      </w:pPr>
      <w:r>
        <w:rPr>
          <w:color w:val="auto"/>
          <w:highlight w:val="none"/>
        </w:rPr>
        <w:t>1.已经公开披露的信息；</w:t>
      </w:r>
    </w:p>
    <w:p>
      <w:pPr>
        <w:ind w:firstLine="640"/>
        <w:rPr>
          <w:color w:val="auto"/>
          <w:highlight w:val="none"/>
        </w:rPr>
      </w:pPr>
      <w:r>
        <w:rPr>
          <w:color w:val="auto"/>
          <w:highlight w:val="none"/>
        </w:rPr>
        <w:t>2.在没有违背承诺函的情况下，已经成为公众普遍可以获得的信息；</w:t>
      </w:r>
    </w:p>
    <w:p>
      <w:pPr>
        <w:ind w:firstLine="640"/>
        <w:rPr>
          <w:color w:val="auto"/>
          <w:highlight w:val="none"/>
        </w:rPr>
      </w:pPr>
      <w:r>
        <w:rPr>
          <w:rFonts w:hint="eastAsia"/>
          <w:color w:val="auto"/>
          <w:highlight w:val="none"/>
        </w:rPr>
        <w:t>3</w:t>
      </w:r>
      <w:r>
        <w:rPr>
          <w:color w:val="auto"/>
          <w:highlight w:val="none"/>
        </w:rPr>
        <w:t>.经贵公司同意予以披露的信息。</w:t>
      </w:r>
    </w:p>
    <w:p>
      <w:pPr>
        <w:ind w:firstLine="640"/>
        <w:rPr>
          <w:color w:val="auto"/>
          <w:highlight w:val="none"/>
        </w:rPr>
      </w:pPr>
      <w:r>
        <w:rPr>
          <w:rFonts w:hint="eastAsia"/>
          <w:color w:val="auto"/>
          <w:highlight w:val="none"/>
        </w:rPr>
        <w:t>四</w:t>
      </w:r>
      <w:r>
        <w:rPr>
          <w:color w:val="auto"/>
          <w:highlight w:val="none"/>
        </w:rPr>
        <w:t>、如我公司违反本函规定的保密义务且给贵公司造成实际损失，我公司将承担相应的法律责任。</w:t>
      </w:r>
    </w:p>
    <w:p>
      <w:pPr>
        <w:ind w:firstLine="640"/>
        <w:rPr>
          <w:color w:val="auto"/>
          <w:highlight w:val="none"/>
        </w:rPr>
      </w:pPr>
      <w:r>
        <w:rPr>
          <w:rFonts w:hint="eastAsia"/>
          <w:color w:val="auto"/>
          <w:highlight w:val="none"/>
        </w:rPr>
        <w:t>五</w:t>
      </w:r>
      <w:r>
        <w:rPr>
          <w:color w:val="auto"/>
          <w:highlight w:val="none"/>
        </w:rPr>
        <w:t>、本函自我公司签署之日起生效，保密期限为生效之日起1年。</w:t>
      </w:r>
    </w:p>
    <w:p>
      <w:pPr>
        <w:ind w:firstLine="640"/>
        <w:rPr>
          <w:color w:val="auto"/>
          <w:highlight w:val="none"/>
        </w:rPr>
      </w:pPr>
      <w:r>
        <w:rPr>
          <w:rFonts w:hint="eastAsia"/>
          <w:color w:val="auto"/>
          <w:highlight w:val="none"/>
        </w:rPr>
        <w:t>六</w:t>
      </w:r>
      <w:r>
        <w:rPr>
          <w:color w:val="auto"/>
          <w:highlight w:val="none"/>
        </w:rPr>
        <w:t>、本函适用中华人民共和国法律。</w:t>
      </w:r>
    </w:p>
    <w:p>
      <w:pPr>
        <w:wordWrap w:val="0"/>
        <w:ind w:firstLine="640"/>
        <w:jc w:val="right"/>
        <w:rPr>
          <w:color w:val="auto"/>
          <w:highlight w:val="none"/>
        </w:rPr>
      </w:pPr>
      <w:r>
        <w:rPr>
          <w:color w:val="auto"/>
          <w:highlight w:val="none"/>
        </w:rPr>
        <w:t>（盖章）</w:t>
      </w:r>
      <w:r>
        <w:rPr>
          <w:rFonts w:hint="eastAsia"/>
          <w:color w:val="auto"/>
          <w:highlight w:val="none"/>
        </w:rPr>
        <w:t xml:space="preserve">       </w:t>
      </w:r>
    </w:p>
    <w:p>
      <w:pPr>
        <w:wordWrap w:val="0"/>
        <w:ind w:firstLine="640"/>
        <w:jc w:val="right"/>
        <w:rPr>
          <w:rFonts w:hint="default"/>
          <w:color w:val="auto"/>
          <w:highlight w:val="none"/>
          <w:lang w:val="en-US" w:eastAsia="zh-CN"/>
        </w:rPr>
      </w:pPr>
      <w:r>
        <w:rPr>
          <w:color w:val="auto"/>
          <w:highlight w:val="none"/>
        </w:rPr>
        <w:t>二〇二</w:t>
      </w:r>
      <w:r>
        <w:rPr>
          <w:rFonts w:hint="eastAsia"/>
          <w:color w:val="auto"/>
          <w:highlight w:val="none"/>
        </w:rPr>
        <w:t>三</w:t>
      </w:r>
      <w:r>
        <w:rPr>
          <w:color w:val="auto"/>
          <w:highlight w:val="none"/>
        </w:rPr>
        <w:t>年</w:t>
      </w:r>
      <w:r>
        <w:rPr>
          <w:rFonts w:hint="eastAsia"/>
          <w:color w:val="auto"/>
          <w:highlight w:val="none"/>
        </w:rPr>
        <w:t xml:space="preserve">    </w:t>
      </w:r>
      <w:r>
        <w:rPr>
          <w:color w:val="auto"/>
          <w:highlight w:val="none"/>
        </w:rPr>
        <w:t>月</w:t>
      </w:r>
      <w:r>
        <w:rPr>
          <w:rFonts w:hint="eastAsia"/>
          <w:color w:val="auto"/>
          <w:highlight w:val="none"/>
        </w:rPr>
        <w:t xml:space="preserve">    </w:t>
      </w:r>
      <w:r>
        <w:rPr>
          <w:color w:val="auto"/>
          <w:highlight w:val="none"/>
        </w:rPr>
        <w:t>日</w:t>
      </w:r>
    </w:p>
    <w:sectPr>
      <w:footerReference r:id="rId5" w:type="default"/>
      <w:pgSz w:w="11906" w:h="16838"/>
      <w:pgMar w:top="1440" w:right="1803" w:bottom="1440" w:left="1803"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ind w:firstLine="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tabs>
                              <w:tab w:val="center" w:pos="4153"/>
                              <w:tab w:val="right" w:pos="8306"/>
                            </w:tabs>
                            <w:ind w:firstLine="0" w:firstLineChars="0"/>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tabs>
                        <w:tab w:val="center" w:pos="4153"/>
                        <w:tab w:val="right" w:pos="8306"/>
                      </w:tabs>
                      <w:ind w:firstLine="0" w:firstLineChars="0"/>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6246253"/>
    <w:multiLevelType w:val="singleLevel"/>
    <w:tmpl w:val="F6246253"/>
    <w:lvl w:ilvl="0" w:tentative="0">
      <w:start w:val="1"/>
      <w:numFmt w:val="decimal"/>
      <w:suff w:val="nothing"/>
      <w:lvlText w:val="（%1）"/>
      <w:lvlJc w:val="left"/>
    </w:lvl>
  </w:abstractNum>
  <w:abstractNum w:abstractNumId="1">
    <w:nsid w:val="168DC465"/>
    <w:multiLevelType w:val="singleLevel"/>
    <w:tmpl w:val="168DC465"/>
    <w:lvl w:ilvl="0" w:tentative="0">
      <w:start w:val="4"/>
      <w:numFmt w:val="chineseCounting"/>
      <w:suff w:val="nothing"/>
      <w:lvlText w:val="（%1）"/>
      <w:lvlJc w:val="left"/>
      <w:rPr>
        <w:rFonts w:hint="eastAsia"/>
      </w:rPr>
    </w:lvl>
  </w:abstractNum>
  <w:abstractNum w:abstractNumId="2">
    <w:nsid w:val="79F52655"/>
    <w:multiLevelType w:val="singleLevel"/>
    <w:tmpl w:val="79F52655"/>
    <w:lvl w:ilvl="0" w:tentative="0">
      <w:start w:val="8"/>
      <w:numFmt w:val="decimal"/>
      <w:suff w:val="space"/>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SystemFonts/>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I5NmMwNDMxYzQ3ODgxNzY2YWU0OTBhYzJhNTM2NTYifQ=="/>
    <w:docVar w:name="KSO_WPS_MARK_KEY" w:val="62deb324-65a6-43f6-92db-0065e7f2886a"/>
  </w:docVars>
  <w:rsids>
    <w:rsidRoot w:val="00CC676F"/>
    <w:rsid w:val="002554F1"/>
    <w:rsid w:val="00271665"/>
    <w:rsid w:val="003115D7"/>
    <w:rsid w:val="003D589D"/>
    <w:rsid w:val="004E7318"/>
    <w:rsid w:val="00586064"/>
    <w:rsid w:val="006D3CF2"/>
    <w:rsid w:val="00706D9E"/>
    <w:rsid w:val="00802C17"/>
    <w:rsid w:val="0097329A"/>
    <w:rsid w:val="00B206BE"/>
    <w:rsid w:val="00B67F46"/>
    <w:rsid w:val="00CC676F"/>
    <w:rsid w:val="00F04FB9"/>
    <w:rsid w:val="00FA02E8"/>
    <w:rsid w:val="01021315"/>
    <w:rsid w:val="01204D4A"/>
    <w:rsid w:val="0133146F"/>
    <w:rsid w:val="0156352C"/>
    <w:rsid w:val="0237612B"/>
    <w:rsid w:val="02964E47"/>
    <w:rsid w:val="02B56B1F"/>
    <w:rsid w:val="04304DB2"/>
    <w:rsid w:val="06C77F69"/>
    <w:rsid w:val="07107A01"/>
    <w:rsid w:val="075E2BCF"/>
    <w:rsid w:val="08A56822"/>
    <w:rsid w:val="09F93B7C"/>
    <w:rsid w:val="0A3D1504"/>
    <w:rsid w:val="0A9323D1"/>
    <w:rsid w:val="0B2B2D97"/>
    <w:rsid w:val="0B3A2FF8"/>
    <w:rsid w:val="0B654BC4"/>
    <w:rsid w:val="0B9852A2"/>
    <w:rsid w:val="0BE24E76"/>
    <w:rsid w:val="0C4B17A3"/>
    <w:rsid w:val="0E776A43"/>
    <w:rsid w:val="0E865AC4"/>
    <w:rsid w:val="0FC9137F"/>
    <w:rsid w:val="0FD7617F"/>
    <w:rsid w:val="104523E2"/>
    <w:rsid w:val="106D21A6"/>
    <w:rsid w:val="106F2792"/>
    <w:rsid w:val="109B59A3"/>
    <w:rsid w:val="12DC25AB"/>
    <w:rsid w:val="13BF31B2"/>
    <w:rsid w:val="1408302A"/>
    <w:rsid w:val="14281A18"/>
    <w:rsid w:val="143509B8"/>
    <w:rsid w:val="14E959B3"/>
    <w:rsid w:val="155E456D"/>
    <w:rsid w:val="16BE0E34"/>
    <w:rsid w:val="171C1226"/>
    <w:rsid w:val="172F3ADF"/>
    <w:rsid w:val="17476E16"/>
    <w:rsid w:val="18774251"/>
    <w:rsid w:val="18A66139"/>
    <w:rsid w:val="18F25DD8"/>
    <w:rsid w:val="18F43EB4"/>
    <w:rsid w:val="199C2B63"/>
    <w:rsid w:val="199F3A7F"/>
    <w:rsid w:val="1A856ACF"/>
    <w:rsid w:val="1B0D058D"/>
    <w:rsid w:val="1B4E666A"/>
    <w:rsid w:val="1B975B36"/>
    <w:rsid w:val="1C5B209B"/>
    <w:rsid w:val="1C8C5927"/>
    <w:rsid w:val="1C9D1945"/>
    <w:rsid w:val="1CD86371"/>
    <w:rsid w:val="1D2259E2"/>
    <w:rsid w:val="1DAC0C4B"/>
    <w:rsid w:val="1EA01E32"/>
    <w:rsid w:val="1EA93960"/>
    <w:rsid w:val="1EBD4792"/>
    <w:rsid w:val="1EC378C7"/>
    <w:rsid w:val="1F172692"/>
    <w:rsid w:val="1F2111C5"/>
    <w:rsid w:val="1F2F42A5"/>
    <w:rsid w:val="1F83778A"/>
    <w:rsid w:val="1FC87893"/>
    <w:rsid w:val="1FF52DF7"/>
    <w:rsid w:val="214D3062"/>
    <w:rsid w:val="21AC1C32"/>
    <w:rsid w:val="22A14C49"/>
    <w:rsid w:val="22E27F51"/>
    <w:rsid w:val="22E449E3"/>
    <w:rsid w:val="22EC4620"/>
    <w:rsid w:val="22F27400"/>
    <w:rsid w:val="2307696B"/>
    <w:rsid w:val="23845A34"/>
    <w:rsid w:val="238E7144"/>
    <w:rsid w:val="23B00D6A"/>
    <w:rsid w:val="23D53BF0"/>
    <w:rsid w:val="23E7742A"/>
    <w:rsid w:val="24214F02"/>
    <w:rsid w:val="24291651"/>
    <w:rsid w:val="243F3E9B"/>
    <w:rsid w:val="249441E7"/>
    <w:rsid w:val="25026792"/>
    <w:rsid w:val="26254DBF"/>
    <w:rsid w:val="273B38C3"/>
    <w:rsid w:val="27B72179"/>
    <w:rsid w:val="27D25752"/>
    <w:rsid w:val="27FD53BA"/>
    <w:rsid w:val="28B7389C"/>
    <w:rsid w:val="298F2C5E"/>
    <w:rsid w:val="29F4766B"/>
    <w:rsid w:val="2AD22FDB"/>
    <w:rsid w:val="2B260745"/>
    <w:rsid w:val="2BCF3D57"/>
    <w:rsid w:val="2BFF46A2"/>
    <w:rsid w:val="2D092A77"/>
    <w:rsid w:val="2D2F3EBD"/>
    <w:rsid w:val="2D761DA8"/>
    <w:rsid w:val="2DC71164"/>
    <w:rsid w:val="2DE41D3C"/>
    <w:rsid w:val="2E445064"/>
    <w:rsid w:val="2E496AB0"/>
    <w:rsid w:val="2E7C0711"/>
    <w:rsid w:val="2E9F0ABE"/>
    <w:rsid w:val="2EC94598"/>
    <w:rsid w:val="2EE31767"/>
    <w:rsid w:val="2F0D7070"/>
    <w:rsid w:val="2F535AD0"/>
    <w:rsid w:val="2FE11C96"/>
    <w:rsid w:val="304744B2"/>
    <w:rsid w:val="3075311F"/>
    <w:rsid w:val="30BA6467"/>
    <w:rsid w:val="3162727A"/>
    <w:rsid w:val="319F51F9"/>
    <w:rsid w:val="3202253B"/>
    <w:rsid w:val="327E2E12"/>
    <w:rsid w:val="32CC7F62"/>
    <w:rsid w:val="339E298D"/>
    <w:rsid w:val="34632572"/>
    <w:rsid w:val="34A915E9"/>
    <w:rsid w:val="34EA50C0"/>
    <w:rsid w:val="350B209C"/>
    <w:rsid w:val="351846C0"/>
    <w:rsid w:val="3619279E"/>
    <w:rsid w:val="362178B1"/>
    <w:rsid w:val="36674365"/>
    <w:rsid w:val="36B4653B"/>
    <w:rsid w:val="3727713D"/>
    <w:rsid w:val="373245F4"/>
    <w:rsid w:val="37391887"/>
    <w:rsid w:val="37503F9E"/>
    <w:rsid w:val="381849E5"/>
    <w:rsid w:val="38526ABD"/>
    <w:rsid w:val="38685315"/>
    <w:rsid w:val="388365F5"/>
    <w:rsid w:val="3895582C"/>
    <w:rsid w:val="39096E54"/>
    <w:rsid w:val="394915ED"/>
    <w:rsid w:val="398F0793"/>
    <w:rsid w:val="39F657B9"/>
    <w:rsid w:val="3A611096"/>
    <w:rsid w:val="3B4200A1"/>
    <w:rsid w:val="3B4A174E"/>
    <w:rsid w:val="3BA1578B"/>
    <w:rsid w:val="3BDE296C"/>
    <w:rsid w:val="3C990195"/>
    <w:rsid w:val="3CA32DC2"/>
    <w:rsid w:val="3CCE71A9"/>
    <w:rsid w:val="3D313F0D"/>
    <w:rsid w:val="3D353067"/>
    <w:rsid w:val="3D3D3216"/>
    <w:rsid w:val="3D655BA3"/>
    <w:rsid w:val="3DAD53E4"/>
    <w:rsid w:val="3E2650ED"/>
    <w:rsid w:val="3E2D698E"/>
    <w:rsid w:val="3E7211B9"/>
    <w:rsid w:val="3EF142B8"/>
    <w:rsid w:val="3EF20030"/>
    <w:rsid w:val="3F7F2E84"/>
    <w:rsid w:val="407177DC"/>
    <w:rsid w:val="408829FA"/>
    <w:rsid w:val="40C41559"/>
    <w:rsid w:val="41697677"/>
    <w:rsid w:val="41F77652"/>
    <w:rsid w:val="42160140"/>
    <w:rsid w:val="42166318"/>
    <w:rsid w:val="42426C29"/>
    <w:rsid w:val="42C57B58"/>
    <w:rsid w:val="42E3365A"/>
    <w:rsid w:val="43244531"/>
    <w:rsid w:val="434278F6"/>
    <w:rsid w:val="438C49D0"/>
    <w:rsid w:val="43AB53EA"/>
    <w:rsid w:val="444047CA"/>
    <w:rsid w:val="44B53DFD"/>
    <w:rsid w:val="45064E63"/>
    <w:rsid w:val="45542118"/>
    <w:rsid w:val="45B1282E"/>
    <w:rsid w:val="45F02255"/>
    <w:rsid w:val="46D92D43"/>
    <w:rsid w:val="478E421E"/>
    <w:rsid w:val="47973AAC"/>
    <w:rsid w:val="480D60D9"/>
    <w:rsid w:val="494E455C"/>
    <w:rsid w:val="496E78AF"/>
    <w:rsid w:val="49A47118"/>
    <w:rsid w:val="4A180867"/>
    <w:rsid w:val="4BE26BF0"/>
    <w:rsid w:val="4BF53F2D"/>
    <w:rsid w:val="4BF72B8C"/>
    <w:rsid w:val="4C6D6F48"/>
    <w:rsid w:val="4C857451"/>
    <w:rsid w:val="4EEF00E8"/>
    <w:rsid w:val="4EF361E6"/>
    <w:rsid w:val="4F9547EC"/>
    <w:rsid w:val="4FC22721"/>
    <w:rsid w:val="50AC4FBC"/>
    <w:rsid w:val="50BA32DA"/>
    <w:rsid w:val="50F74B58"/>
    <w:rsid w:val="514209A3"/>
    <w:rsid w:val="51C27B21"/>
    <w:rsid w:val="531A0224"/>
    <w:rsid w:val="53344953"/>
    <w:rsid w:val="53975E3B"/>
    <w:rsid w:val="53F36356"/>
    <w:rsid w:val="546F50A2"/>
    <w:rsid w:val="54A56781"/>
    <w:rsid w:val="54CA318A"/>
    <w:rsid w:val="556B4945"/>
    <w:rsid w:val="55C26804"/>
    <w:rsid w:val="56D5738A"/>
    <w:rsid w:val="571921A6"/>
    <w:rsid w:val="571B0AD7"/>
    <w:rsid w:val="57637163"/>
    <w:rsid w:val="57CB0ABD"/>
    <w:rsid w:val="585B4C97"/>
    <w:rsid w:val="58D75C6C"/>
    <w:rsid w:val="58EF6E2F"/>
    <w:rsid w:val="59207D8E"/>
    <w:rsid w:val="594402E1"/>
    <w:rsid w:val="59471A43"/>
    <w:rsid w:val="595D2A62"/>
    <w:rsid w:val="5A07278A"/>
    <w:rsid w:val="5A961824"/>
    <w:rsid w:val="5BF2705A"/>
    <w:rsid w:val="5C5D6A46"/>
    <w:rsid w:val="5D3C2B2F"/>
    <w:rsid w:val="5DDF1ED6"/>
    <w:rsid w:val="5DFA0D2E"/>
    <w:rsid w:val="5E0C7F16"/>
    <w:rsid w:val="5E2028AE"/>
    <w:rsid w:val="5E7B1A2F"/>
    <w:rsid w:val="5EAD0EF2"/>
    <w:rsid w:val="5ED96B44"/>
    <w:rsid w:val="5EEF12AD"/>
    <w:rsid w:val="5EEF2896"/>
    <w:rsid w:val="600303B9"/>
    <w:rsid w:val="601F426C"/>
    <w:rsid w:val="60365E0C"/>
    <w:rsid w:val="6059567C"/>
    <w:rsid w:val="612921FE"/>
    <w:rsid w:val="61B256D1"/>
    <w:rsid w:val="63E638B4"/>
    <w:rsid w:val="63EC6C47"/>
    <w:rsid w:val="6409077B"/>
    <w:rsid w:val="641F02A8"/>
    <w:rsid w:val="64865BEB"/>
    <w:rsid w:val="65762969"/>
    <w:rsid w:val="658022FF"/>
    <w:rsid w:val="65933774"/>
    <w:rsid w:val="65D75707"/>
    <w:rsid w:val="661C7EE8"/>
    <w:rsid w:val="6695562E"/>
    <w:rsid w:val="66AB2B88"/>
    <w:rsid w:val="674F39AB"/>
    <w:rsid w:val="67542D87"/>
    <w:rsid w:val="68271A9F"/>
    <w:rsid w:val="68375540"/>
    <w:rsid w:val="687C2595"/>
    <w:rsid w:val="68D667FD"/>
    <w:rsid w:val="691E34AC"/>
    <w:rsid w:val="69B27CB2"/>
    <w:rsid w:val="69B56724"/>
    <w:rsid w:val="6A2151A2"/>
    <w:rsid w:val="6AB407F4"/>
    <w:rsid w:val="6ACC7C78"/>
    <w:rsid w:val="6B565C21"/>
    <w:rsid w:val="6BEA7A4E"/>
    <w:rsid w:val="6C5470F3"/>
    <w:rsid w:val="6CD05DD0"/>
    <w:rsid w:val="6D8838AC"/>
    <w:rsid w:val="6E141E9E"/>
    <w:rsid w:val="6E3F621B"/>
    <w:rsid w:val="6E444342"/>
    <w:rsid w:val="6FC21A38"/>
    <w:rsid w:val="6FCF744E"/>
    <w:rsid w:val="6FE6602F"/>
    <w:rsid w:val="703F285B"/>
    <w:rsid w:val="70646914"/>
    <w:rsid w:val="718D75C1"/>
    <w:rsid w:val="71A54BC2"/>
    <w:rsid w:val="71FD4D8E"/>
    <w:rsid w:val="720A15DC"/>
    <w:rsid w:val="723E475D"/>
    <w:rsid w:val="728A22EB"/>
    <w:rsid w:val="72E97D91"/>
    <w:rsid w:val="734B49BE"/>
    <w:rsid w:val="73F07F45"/>
    <w:rsid w:val="74B81D9F"/>
    <w:rsid w:val="74FE0196"/>
    <w:rsid w:val="755F74C6"/>
    <w:rsid w:val="757477AA"/>
    <w:rsid w:val="75785DC2"/>
    <w:rsid w:val="758415F2"/>
    <w:rsid w:val="759D6F3D"/>
    <w:rsid w:val="75AA091D"/>
    <w:rsid w:val="75FB0C43"/>
    <w:rsid w:val="763C4137"/>
    <w:rsid w:val="763C7C2F"/>
    <w:rsid w:val="76B73BB4"/>
    <w:rsid w:val="775F7C33"/>
    <w:rsid w:val="776143DD"/>
    <w:rsid w:val="77E27D45"/>
    <w:rsid w:val="79C57171"/>
    <w:rsid w:val="7A0E35D0"/>
    <w:rsid w:val="7AA17C39"/>
    <w:rsid w:val="7B793C95"/>
    <w:rsid w:val="7B917CAE"/>
    <w:rsid w:val="7BE14907"/>
    <w:rsid w:val="7C223BFD"/>
    <w:rsid w:val="7C947A56"/>
    <w:rsid w:val="7CAB362C"/>
    <w:rsid w:val="7D0D638E"/>
    <w:rsid w:val="7E4C40DC"/>
    <w:rsid w:val="7E691009"/>
    <w:rsid w:val="7E9B749B"/>
    <w:rsid w:val="7F025BB6"/>
    <w:rsid w:val="7F5F72F6"/>
    <w:rsid w:val="7F8D4552"/>
    <w:rsid w:val="7FD563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napToGrid w:val="0"/>
      <w:spacing w:line="560" w:lineRule="exact"/>
      <w:ind w:firstLine="880" w:firstLineChars="200"/>
      <w:jc w:val="both"/>
    </w:pPr>
    <w:rPr>
      <w:rFonts w:ascii="Times New Roman" w:hAnsi="Times New Roman" w:eastAsia="仿宋_GB2312" w:cs="Times New Roman"/>
      <w:kern w:val="2"/>
      <w:sz w:val="32"/>
      <w:szCs w:val="22"/>
      <w:lang w:val="en-US" w:eastAsia="zh-CN" w:bidi="ar-SA"/>
    </w:rPr>
  </w:style>
  <w:style w:type="paragraph" w:styleId="4">
    <w:name w:val="heading 1"/>
    <w:basedOn w:val="1"/>
    <w:next w:val="1"/>
    <w:qFormat/>
    <w:uiPriority w:val="0"/>
    <w:pPr>
      <w:keepNext/>
      <w:keepLines/>
      <w:spacing w:line="360" w:lineRule="auto"/>
      <w:ind w:firstLine="640"/>
      <w:outlineLvl w:val="0"/>
    </w:pPr>
    <w:rPr>
      <w:rFonts w:ascii="黑体" w:hAnsi="黑体" w:eastAsia="黑体"/>
      <w:kern w:val="44"/>
    </w:rPr>
  </w:style>
  <w:style w:type="paragraph" w:styleId="5">
    <w:name w:val="heading 2"/>
    <w:basedOn w:val="1"/>
    <w:next w:val="1"/>
    <w:semiHidden/>
    <w:unhideWhenUsed/>
    <w:qFormat/>
    <w:uiPriority w:val="0"/>
    <w:pPr>
      <w:keepNext/>
      <w:keepLines/>
      <w:spacing w:line="360" w:lineRule="auto"/>
      <w:outlineLvl w:val="1"/>
    </w:pPr>
    <w:rPr>
      <w:rFonts w:ascii="楷体" w:hAnsi="楷体" w:eastAsia="楷体"/>
      <w:b/>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ind w:firstLine="0" w:firstLineChars="0"/>
    </w:pPr>
    <w:rPr>
      <w:color w:val="000000"/>
      <w:szCs w:val="24"/>
    </w:rPr>
  </w:style>
  <w:style w:type="paragraph" w:styleId="3">
    <w:name w:val="Body Text First Indent"/>
    <w:basedOn w:val="2"/>
    <w:next w:val="1"/>
    <w:qFormat/>
    <w:uiPriority w:val="0"/>
    <w:pPr>
      <w:spacing w:after="120"/>
      <w:ind w:firstLine="420" w:firstLineChars="100"/>
    </w:pPr>
    <w:rPr>
      <w:color w:val="auto"/>
    </w:rPr>
  </w:style>
  <w:style w:type="paragraph" w:styleId="6">
    <w:name w:val="Normal Indent"/>
    <w:basedOn w:val="1"/>
    <w:qFormat/>
    <w:uiPriority w:val="0"/>
    <w:pPr>
      <w:ind w:firstLine="420"/>
    </w:pPr>
  </w:style>
  <w:style w:type="paragraph" w:styleId="7">
    <w:name w:val="annotation text"/>
    <w:basedOn w:val="1"/>
    <w:semiHidden/>
    <w:qFormat/>
    <w:uiPriority w:val="0"/>
    <w:pPr>
      <w:jc w:val="left"/>
    </w:pPr>
    <w:rPr>
      <w:kern w:val="0"/>
      <w:sz w:val="20"/>
      <w:szCs w:val="24"/>
    </w:rPr>
  </w:style>
  <w:style w:type="paragraph" w:styleId="8">
    <w:name w:val="Body Text Indent"/>
    <w:basedOn w:val="1"/>
    <w:next w:val="9"/>
    <w:qFormat/>
    <w:uiPriority w:val="0"/>
    <w:pPr>
      <w:spacing w:after="120"/>
      <w:ind w:left="420" w:leftChars="200"/>
    </w:pPr>
    <w:rPr>
      <w:kern w:val="0"/>
      <w:sz w:val="20"/>
      <w:szCs w:val="24"/>
    </w:rPr>
  </w:style>
  <w:style w:type="paragraph" w:styleId="9">
    <w:name w:val="annotation subject"/>
    <w:basedOn w:val="7"/>
    <w:next w:val="1"/>
    <w:qFormat/>
    <w:uiPriority w:val="0"/>
    <w:rPr>
      <w:b/>
      <w:bCs/>
    </w:rPr>
  </w:style>
  <w:style w:type="paragraph" w:styleId="10">
    <w:name w:val="Plain Text"/>
    <w:basedOn w:val="1"/>
    <w:next w:val="1"/>
    <w:qFormat/>
    <w:uiPriority w:val="0"/>
    <w:rPr>
      <w:rFonts w:ascii="宋体" w:hAnsi="Courier New"/>
      <w:szCs w:val="20"/>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pacing w:line="240" w:lineRule="auto"/>
    </w:pPr>
    <w:rPr>
      <w:sz w:val="18"/>
    </w:rPr>
  </w:style>
  <w:style w:type="paragraph" w:styleId="12">
    <w:name w:val="List"/>
    <w:basedOn w:val="1"/>
    <w:qFormat/>
    <w:uiPriority w:val="0"/>
    <w:pPr>
      <w:ind w:left="420" w:hanging="420"/>
    </w:pPr>
    <w:rPr>
      <w:rFonts w:ascii="Calibri" w:hAnsi="Calibri" w:eastAsia="宋体"/>
    </w:rPr>
  </w:style>
  <w:style w:type="paragraph" w:styleId="13">
    <w:name w:val="Normal (Web)"/>
    <w:basedOn w:val="1"/>
    <w:qFormat/>
    <w:uiPriority w:val="0"/>
    <w:pPr>
      <w:spacing w:before="100" w:beforeAutospacing="1" w:after="100" w:afterAutospacing="1"/>
      <w:jc w:val="left"/>
    </w:pPr>
    <w:rPr>
      <w:kern w:val="0"/>
      <w:sz w:val="24"/>
    </w:rPr>
  </w:style>
  <w:style w:type="paragraph" w:styleId="14">
    <w:name w:val="Body Text First Indent 2"/>
    <w:basedOn w:val="8"/>
    <w:next w:val="12"/>
    <w:qFormat/>
    <w:uiPriority w:val="0"/>
    <w:pPr>
      <w:ind w:firstLine="420"/>
    </w:pPr>
  </w:style>
  <w:style w:type="character" w:styleId="17">
    <w:name w:val="Strong"/>
    <w:basedOn w:val="16"/>
    <w:qFormat/>
    <w:uiPriority w:val="0"/>
    <w:rPr>
      <w:b/>
    </w:rPr>
  </w:style>
  <w:style w:type="character" w:styleId="18">
    <w:name w:val="Hyperlink"/>
    <w:basedOn w:val="16"/>
    <w:qFormat/>
    <w:uiPriority w:val="0"/>
    <w:rPr>
      <w:color w:val="0000FF"/>
      <w:u w:val="single"/>
    </w:rPr>
  </w:style>
  <w:style w:type="paragraph" w:styleId="19">
    <w:name w:val="No Spacing"/>
    <w:qFormat/>
    <w:uiPriority w:val="1"/>
    <w:pPr>
      <w:widowControl w:val="0"/>
      <w:snapToGrid w:val="0"/>
      <w:spacing w:line="360" w:lineRule="auto"/>
      <w:jc w:val="center"/>
    </w:pPr>
    <w:rPr>
      <w:rFonts w:ascii="宋体" w:hAnsi="宋体" w:eastAsia="宋体" w:cs="宋体"/>
      <w:color w:val="C55A11" w:themeColor="accent2" w:themeShade="BF"/>
      <w:kern w:val="2"/>
      <w:sz w:val="28"/>
      <w:szCs w:val="24"/>
      <w:lang w:val="en-US" w:eastAsia="zh-CN" w:bidi="ar-SA"/>
    </w:rPr>
  </w:style>
  <w:style w:type="paragraph" w:customStyle="1" w:styleId="20">
    <w:name w:val="表格"/>
    <w:basedOn w:val="1"/>
    <w:next w:val="1"/>
    <w:qFormat/>
    <w:uiPriority w:val="0"/>
    <w:pPr>
      <w:ind w:firstLine="0" w:firstLineChars="0"/>
    </w:pPr>
    <w:rPr>
      <w:sz w:val="28"/>
    </w:rPr>
  </w:style>
  <w:style w:type="paragraph" w:customStyle="1" w:styleId="21">
    <w:name w:val="居中正文"/>
    <w:basedOn w:val="1"/>
    <w:qFormat/>
    <w:uiPriority w:val="0"/>
    <w:pPr>
      <w:keepNext/>
      <w:keepLines/>
      <w:spacing w:line="360" w:lineRule="auto"/>
      <w:ind w:firstLine="0" w:firstLineChars="0"/>
      <w:jc w:val="center"/>
      <w:outlineLvl w:val="2"/>
    </w:pPr>
    <w:rPr>
      <w:b/>
    </w:rPr>
  </w:style>
  <w:style w:type="paragraph" w:styleId="22">
    <w:name w:val="Quote"/>
    <w:basedOn w:val="1"/>
    <w:next w:val="1"/>
    <w:qFormat/>
    <w:uiPriority w:val="29"/>
    <w:pPr>
      <w:ind w:firstLine="0" w:firstLineChars="0"/>
    </w:pPr>
    <w:rPr>
      <w:iCs/>
      <w:sz w:val="21"/>
    </w:rPr>
  </w:style>
  <w:style w:type="paragraph" w:styleId="23">
    <w:name w:val="List Paragraph"/>
    <w:basedOn w:val="1"/>
    <w:qFormat/>
    <w:uiPriority w:val="34"/>
    <w:pPr>
      <w:ind w:firstLine="0" w:firstLineChars="0"/>
      <w:jc w:val="center"/>
    </w:pPr>
  </w:style>
  <w:style w:type="paragraph" w:customStyle="1" w:styleId="24">
    <w:name w:val="Default"/>
    <w:qFormat/>
    <w:uiPriority w:val="0"/>
    <w:pPr>
      <w:widowControl w:val="0"/>
      <w:autoSpaceDE w:val="0"/>
      <w:autoSpaceDN w:val="0"/>
      <w:adjustRightInd w:val="0"/>
    </w:pPr>
    <w:rPr>
      <w:rFonts w:ascii="黑体" w:hAnsi="Times New Roman" w:eastAsia="黑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47</Pages>
  <Words>14567</Words>
  <Characters>15272</Characters>
  <Lines>114</Lines>
  <Paragraphs>32</Paragraphs>
  <TotalTime>2</TotalTime>
  <ScaleCrop>false</ScaleCrop>
  <LinksUpToDate>false</LinksUpToDate>
  <CharactersWithSpaces>15640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2021-12-13T05:35:00Z</dcterms:created>
  <dc:creator>yaoqi</dc:creator>
  <cp:lastModifiedBy>宝宝侠♪</cp:lastModifiedBy>
  <cp:lastPrinted>2023-03-13T05:46:00Z</cp:lastPrinted>
  <dcterms:modified xsi:type="dcterms:W3CDTF">2023-03-20T07:37:31Z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037E303417894774971469EF8F808A11</vt:lpwstr>
  </property>
  <property fmtid="{D5CDD505-2E9C-101B-9397-08002B2CF9AE}" pid="4" name="commondata">
    <vt:lpwstr>eyJoZGlkIjoiYmQwZTg4ZTk2Y2Q0ZTAwYWYxM2RlYjVjMGFmY2ZlMjkifQ==</vt:lpwstr>
  </property>
</Properties>
</file>